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word/charts/style1.xml" ContentType="application/vnd.ms-office.chartstyle+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240" w:lineRule="auto" w:line="480"/>
        <w:jc w:val="both"/>
        <w:rPr/>
      </w:pPr>
    </w:p>
    <w:p>
      <w:pPr>
        <w:pStyle w:val="style0"/>
        <w:spacing w:after="240" w:lineRule="auto" w:line="480"/>
        <w:jc w:val="both"/>
        <w:rPr/>
      </w:pPr>
    </w:p>
    <w:p>
      <w:pPr>
        <w:pStyle w:val="style0"/>
        <w:spacing w:after="240" w:lineRule="auto" w:line="480"/>
        <w:jc w:val="both"/>
        <w:rPr/>
      </w:pPr>
    </w:p>
    <w:p>
      <w:pPr>
        <w:pStyle w:val="style0"/>
        <w:spacing w:after="240" w:lineRule="auto" w:line="480"/>
        <w:jc w:val="both"/>
        <w:rPr/>
      </w:pPr>
    </w:p>
    <w:p>
      <w:pPr>
        <w:pStyle w:val="style0"/>
        <w:spacing w:after="240" w:lineRule="auto" w:line="480"/>
        <w:jc w:val="center"/>
        <w:rPr/>
      </w:pPr>
      <w:r>
        <w:t xml:space="preserve">Chem 1212 </w:t>
      </w:r>
      <w:r>
        <w:t>Lab Report</w:t>
      </w: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before="240" w:after="240" w:lineRule="auto" w:line="480"/>
        <w:jc w:val="center"/>
        <w:rPr/>
      </w:pPr>
      <w:r>
        <w:t>Student's Name</w:t>
      </w:r>
    </w:p>
    <w:p>
      <w:pPr>
        <w:pStyle w:val="style0"/>
        <w:spacing w:before="240" w:after="240" w:lineRule="auto" w:line="480"/>
        <w:jc w:val="center"/>
        <w:rPr/>
      </w:pPr>
      <w:r>
        <w:t>Institutional Affiliation</w:t>
      </w:r>
    </w:p>
    <w:p>
      <w:pPr>
        <w:pStyle w:val="style0"/>
        <w:spacing w:before="240" w:after="240" w:lineRule="auto" w:line="480"/>
        <w:jc w:val="center"/>
        <w:rPr/>
      </w:pPr>
      <w:r>
        <w:t>Course Name and Number</w:t>
      </w:r>
    </w:p>
    <w:p>
      <w:pPr>
        <w:pStyle w:val="style0"/>
        <w:spacing w:before="240" w:after="240" w:lineRule="auto" w:line="480"/>
        <w:jc w:val="center"/>
        <w:rPr/>
      </w:pPr>
      <w:r>
        <w:t>Instructor's Name</w:t>
      </w:r>
    </w:p>
    <w:p>
      <w:pPr>
        <w:pStyle w:val="style0"/>
        <w:spacing w:before="240" w:after="240" w:lineRule="auto" w:line="480"/>
        <w:jc w:val="center"/>
        <w:rPr/>
      </w:pPr>
      <w:r>
        <w:t>Submission Date</w:t>
      </w:r>
    </w:p>
    <w:p>
      <w:pPr>
        <w:pStyle w:val="style0"/>
        <w:spacing w:before="240" w:after="240" w:lineRule="auto" w:line="480"/>
        <w:jc w:val="center"/>
        <w:rPr>
          <w:b/>
        </w:rPr>
      </w:pPr>
      <w:r>
        <w:rPr>
          <w:b/>
        </w:rPr>
        <w:t>Pre- Lab Questions</w:t>
      </w:r>
    </w:p>
    <w:p>
      <w:pPr>
        <w:pStyle w:val="style179"/>
        <w:numPr>
          <w:ilvl w:val="0"/>
          <w:numId w:val="1"/>
        </w:numPr>
        <w:spacing w:before="240" w:after="240" w:lineRule="auto" w:line="480"/>
        <w:jc w:val="both"/>
        <w:rPr>
          <w:b/>
          <w:i/>
        </w:rPr>
      </w:pPr>
      <w:r>
        <w:rPr>
          <w:b/>
          <w:i/>
        </w:rPr>
        <w:t>Define the following terms</w:t>
      </w:r>
    </w:p>
    <w:p>
      <w:pPr>
        <w:pStyle w:val="style0"/>
        <w:spacing w:before="240" w:after="240" w:lineRule="auto" w:line="480"/>
        <w:jc w:val="both"/>
        <w:rPr/>
      </w:pPr>
      <w:r>
        <w:t>Acid</w:t>
      </w:r>
    </w:p>
    <w:p>
      <w:pPr>
        <w:pStyle w:val="style0"/>
        <w:spacing w:before="240" w:after="240" w:lineRule="auto" w:line="480"/>
        <w:ind w:firstLine="720"/>
        <w:jc w:val="both"/>
        <w:rPr/>
      </w:pPr>
      <w:r>
        <w:t xml:space="preserve">Acid is defined as the proton donor or any substance dissociating in water to give </w:t>
      </w:r>
      <w:r>
        <w:t xml:space="preserve">out hydrogen ions as the only </w:t>
      </w:r>
      <w:r>
        <w:t>cation</w:t>
      </w:r>
      <w:r>
        <w:t xml:space="preserve"> (</w:t>
      </w:r>
      <w:r>
        <w:t>Kulik</w:t>
      </w:r>
      <w:r>
        <w:t>, 2010).</w:t>
      </w:r>
    </w:p>
    <w:p>
      <w:pPr>
        <w:pStyle w:val="style0"/>
        <w:spacing w:before="240" w:after="240" w:lineRule="auto" w:line="480"/>
        <w:jc w:val="both"/>
        <w:rPr/>
      </w:pPr>
      <w:r>
        <w:t>Base</w:t>
      </w:r>
    </w:p>
    <w:p>
      <w:pPr>
        <w:pStyle w:val="style0"/>
        <w:spacing w:before="240" w:after="240" w:lineRule="auto" w:line="480"/>
        <w:ind w:firstLine="720"/>
        <w:jc w:val="both"/>
        <w:rPr/>
      </w:pPr>
      <w:r>
        <w:t>The base is defined as the proton acceptor or the substance which dissociates in the water giving hydroxide ions as the only anions (</w:t>
      </w:r>
      <w:r>
        <w:t>Kulik</w:t>
      </w:r>
      <w:r>
        <w:t>, 2010).</w:t>
      </w:r>
    </w:p>
    <w:p>
      <w:pPr>
        <w:pStyle w:val="style0"/>
        <w:spacing w:before="240" w:after="240" w:lineRule="auto" w:line="480"/>
        <w:jc w:val="both"/>
        <w:rPr/>
      </w:pPr>
      <w:r>
        <w:t>Buffer</w:t>
      </w:r>
    </w:p>
    <w:p>
      <w:pPr>
        <w:pStyle w:val="style0"/>
        <w:spacing w:before="240" w:after="240" w:lineRule="auto" w:line="480"/>
        <w:ind w:firstLine="720"/>
        <w:jc w:val="both"/>
        <w:rPr/>
      </w:pPr>
      <w:r>
        <w:t xml:space="preserve">A buffer is considered to be that particular </w:t>
      </w:r>
      <w:r>
        <w:t>solution that can resist pH change after adding more acidic or essential solutions.</w:t>
      </w:r>
    </w:p>
    <w:p>
      <w:pPr>
        <w:pStyle w:val="style0"/>
        <w:spacing w:before="240" w:after="240" w:lineRule="auto" w:line="480"/>
        <w:jc w:val="both"/>
        <w:rPr/>
      </w:pPr>
      <w:r>
        <w:t>d</w:t>
      </w:r>
      <w:r>
        <w:t>. Equivalence Point</w:t>
      </w:r>
    </w:p>
    <w:p>
      <w:pPr>
        <w:pStyle w:val="style0"/>
        <w:spacing w:before="240" w:after="240" w:lineRule="auto" w:line="480"/>
        <w:ind w:firstLine="720"/>
        <w:jc w:val="both"/>
        <w:rPr/>
      </w:pPr>
      <w:r>
        <w:t>This is a point in Titration whereby the titrant's amount becomes enough for complete neutralization of the analytic solution used (</w:t>
      </w:r>
      <w:r>
        <w:t>Persat</w:t>
      </w:r>
      <w:r>
        <w:t>, 2009).</w:t>
      </w:r>
    </w:p>
    <w:p>
      <w:pPr>
        <w:pStyle w:val="style0"/>
        <w:spacing w:before="240" w:after="240" w:lineRule="auto" w:line="480"/>
        <w:jc w:val="both"/>
        <w:rPr/>
      </w:pPr>
      <w:r>
        <w:t>What</w:t>
      </w:r>
      <w:r>
        <w:t xml:space="preserve"> is </w:t>
      </w:r>
      <w:r>
        <w:t>Ka</w:t>
      </w:r>
    </w:p>
    <w:p>
      <w:pPr>
        <w:pStyle w:val="style0"/>
        <w:spacing w:before="240" w:after="240" w:lineRule="auto" w:line="480"/>
        <w:ind w:firstLine="720"/>
        <w:jc w:val="both"/>
        <w:rPr/>
      </w:pPr>
      <w:r>
        <w:t>It is a constant used to represent the acid dissociation equilibrium constant of an acid (</w:t>
      </w:r>
      <w:r>
        <w:t>Persat</w:t>
      </w:r>
      <w:r>
        <w:t>, 2009).</w:t>
      </w:r>
    </w:p>
    <w:p>
      <w:pPr>
        <w:pStyle w:val="style0"/>
        <w:spacing w:before="240" w:after="240" w:lineRule="auto" w:line="480"/>
        <w:ind w:firstLine="720"/>
        <w:jc w:val="both"/>
        <w:rPr/>
      </w:pPr>
    </w:p>
    <w:p>
      <w:pPr>
        <w:pStyle w:val="style0"/>
        <w:spacing w:before="240" w:after="240" w:lineRule="auto" w:line="480"/>
        <w:jc w:val="both"/>
        <w:rPr/>
      </w:pPr>
      <w:r>
        <w:t>pH</w:t>
      </w:r>
    </w:p>
    <w:p>
      <w:pPr>
        <w:pStyle w:val="style0"/>
        <w:spacing w:before="240" w:after="240" w:lineRule="auto" w:line="480"/>
        <w:ind w:firstLine="720"/>
        <w:jc w:val="both"/>
        <w:rPr/>
      </w:pPr>
      <w:r>
        <w:t>pH</w:t>
      </w:r>
      <w:r>
        <w:t xml:space="preserve"> refers to the degree of a given solution's acidity or basicity (</w:t>
      </w:r>
      <w:r>
        <w:t>Persat</w:t>
      </w:r>
      <w:r>
        <w:t>, 2009).</w:t>
      </w:r>
    </w:p>
    <w:p>
      <w:pPr>
        <w:pStyle w:val="style0"/>
        <w:spacing w:before="240" w:after="240" w:lineRule="auto" w:line="480"/>
        <w:jc w:val="both"/>
        <w:rPr/>
      </w:pPr>
      <w:r>
        <w:t>Titration</w:t>
      </w:r>
    </w:p>
    <w:p>
      <w:pPr>
        <w:pStyle w:val="style0"/>
        <w:spacing w:before="240" w:after="240" w:lineRule="auto" w:line="480"/>
        <w:ind w:firstLine="720"/>
        <w:jc w:val="both"/>
        <w:rPr/>
      </w:pPr>
      <w:r>
        <w:t>Titration refers to the technique used to solve a</w:t>
      </w:r>
      <w:r>
        <w:t xml:space="preserve"> given concentration to determine the concentration of another solution whose attention is unknown.</w:t>
      </w:r>
    </w:p>
    <w:p>
      <w:pPr>
        <w:pStyle w:val="style179"/>
        <w:numPr>
          <w:ilvl w:val="0"/>
          <w:numId w:val="1"/>
        </w:numPr>
        <w:spacing w:before="240" w:after="240" w:lineRule="auto" w:line="480"/>
        <w:jc w:val="both"/>
        <w:rPr>
          <w:b/>
          <w:i/>
        </w:rPr>
      </w:pPr>
      <w:r>
        <w:rPr>
          <w:b/>
          <w:i/>
        </w:rPr>
        <w:t>Explain why the pH at the equivalence point of an equilibrium acid (aka weak acid) is always greater than tepid water with a pH= 7.</w:t>
      </w:r>
    </w:p>
    <w:p>
      <w:pPr>
        <w:pStyle w:val="style0"/>
        <w:spacing w:before="240" w:after="240" w:lineRule="auto" w:line="480"/>
        <w:ind w:firstLine="360"/>
        <w:jc w:val="both"/>
        <w:rPr/>
      </w:pPr>
      <w:r>
        <w:t>The pH at the equivalenc</w:t>
      </w:r>
      <w:r>
        <w:t>e point of an equilibrium acid is always greater than seven because the last group of the acid added before the solution attains its equilibrium is a base; thus, the answer becomes more of command; therefore, the pH becomes more than 7.</w:t>
      </w:r>
    </w:p>
    <w:p>
      <w:pPr>
        <w:pStyle w:val="style179"/>
        <w:numPr>
          <w:ilvl w:val="0"/>
          <w:numId w:val="1"/>
        </w:numPr>
        <w:spacing w:before="240" w:after="240" w:lineRule="auto" w:line="480"/>
        <w:jc w:val="both"/>
        <w:rPr>
          <w:b/>
          <w:i/>
        </w:rPr>
      </w:pPr>
      <w:r>
        <w:rPr>
          <w:b/>
          <w:i/>
        </w:rPr>
        <w:t>A student weighs ou</w:t>
      </w:r>
      <w:r>
        <w:rPr>
          <w:b/>
          <w:i/>
        </w:rPr>
        <w:t xml:space="preserve">t 0.2500 g of an unknown diprotic acid and uses 30.00 mL of 0.1000 M </w:t>
      </w:r>
      <w:r>
        <w:rPr>
          <w:b/>
          <w:i/>
        </w:rPr>
        <w:t>NaOH</w:t>
      </w:r>
      <w:r>
        <w:rPr>
          <w:b/>
          <w:i/>
        </w:rPr>
        <w:t xml:space="preserve"> to reach the second equivalence point in titrating this acid. Show your calculations to determine the molecular weight of this acid.</w:t>
      </w:r>
    </w:p>
    <w:p>
      <w:pPr>
        <w:pStyle w:val="style0"/>
        <w:spacing w:before="240" w:after="240" w:lineRule="auto" w:line="480"/>
        <w:jc w:val="both"/>
        <w:rPr/>
      </w:pPr>
      <w:r>
        <w:t>X2Y (</w:t>
      </w:r>
      <w:r>
        <w:t>aq</w:t>
      </w:r>
      <w:r>
        <w:t>) + 2NaOH (</w:t>
      </w:r>
      <w:r>
        <w:t>aq</w:t>
      </w:r>
      <w:r>
        <w:t>) → Na2Y (</w:t>
      </w:r>
      <w:r>
        <w:t>aq</w:t>
      </w:r>
      <w:r>
        <w:t>) + 2H2O (l)</w:t>
      </w:r>
    </w:p>
    <w:p>
      <w:pPr>
        <w:pStyle w:val="style0"/>
        <w:spacing w:before="240" w:after="240" w:lineRule="auto" w:line="480"/>
        <w:jc w:val="both"/>
        <w:rPr/>
      </w:pPr>
      <w:r>
        <w:t xml:space="preserve">The </w:t>
      </w:r>
      <w:r>
        <w:t>mole ratio of the reaction of X2Y (</w:t>
      </w:r>
      <w:r>
        <w:t>aq</w:t>
      </w:r>
      <w:r>
        <w:t>) + 2NaOH (</w:t>
      </w:r>
      <w:r>
        <w:t>aq</w:t>
      </w:r>
      <w:r>
        <w:t>) is 1:2, respectively (</w:t>
      </w:r>
      <w:r>
        <w:t>Diewok</w:t>
      </w:r>
      <w:r>
        <w:t>, 2012).</w:t>
      </w:r>
    </w:p>
    <w:p>
      <w:pPr>
        <w:pStyle w:val="style0"/>
        <w:spacing w:before="240" w:after="240" w:lineRule="auto" w:line="480"/>
        <w:jc w:val="both"/>
        <w:rPr/>
      </w:pPr>
      <w:r>
        <w:t xml:space="preserve">Moles of the </w:t>
      </w:r>
      <w:r>
        <w:t>NaOH</w:t>
      </w:r>
      <w:r>
        <w:t xml:space="preserve"> = 301000 x 0.100</w:t>
      </w:r>
    </w:p>
    <w:p>
      <w:pPr>
        <w:pStyle w:val="style0"/>
        <w:spacing w:before="240" w:after="240" w:lineRule="auto" w:line="480"/>
        <w:jc w:val="both"/>
        <w:rPr/>
      </w:pPr>
      <w:r>
        <w:t xml:space="preserve">Moles of the </w:t>
      </w:r>
      <w:r>
        <w:t>NaOH</w:t>
      </w:r>
      <w:r>
        <w:t xml:space="preserve"> = 0.003 moles</w:t>
      </w:r>
    </w:p>
    <w:p>
      <w:pPr>
        <w:pStyle w:val="style0"/>
        <w:spacing w:before="240" w:after="240" w:lineRule="auto" w:line="480"/>
        <w:jc w:val="both"/>
        <w:rPr/>
      </w:pPr>
      <w:r>
        <w:t>Thus the number of acid from the mole ratio become</w:t>
      </w:r>
    </w:p>
    <w:p>
      <w:pPr>
        <w:pStyle w:val="style0"/>
        <w:spacing w:before="240" w:after="240" w:lineRule="auto" w:line="480"/>
        <w:jc w:val="both"/>
        <w:rPr/>
      </w:pPr>
      <w:r>
        <w:t>Moles of the unknown diprotic acid = 0.003 ÷ 2</w:t>
      </w:r>
    </w:p>
    <w:p>
      <w:pPr>
        <w:pStyle w:val="style0"/>
        <w:spacing w:before="240" w:after="240" w:lineRule="auto" w:line="480"/>
        <w:jc w:val="both"/>
        <w:rPr/>
      </w:pPr>
      <w:r>
        <w:t xml:space="preserve">Moles of the unknown diprotic acid = 0.0015 moles </w:t>
      </w:r>
    </w:p>
    <w:p>
      <w:pPr>
        <w:pStyle w:val="style0"/>
        <w:spacing w:before="240" w:after="240" w:lineRule="auto" w:line="480"/>
        <w:jc w:val="both"/>
        <w:rPr/>
      </w:pPr>
      <w:r>
        <w:t>Thus the molecular weight of the unknown diprotic acid = moles x mass of the acid</w:t>
      </w:r>
    </w:p>
    <w:p>
      <w:pPr>
        <w:pStyle w:val="style0"/>
        <w:spacing w:before="240" w:after="240" w:lineRule="auto" w:line="480"/>
        <w:jc w:val="both"/>
        <w:rPr/>
      </w:pPr>
      <w:r>
        <w:t>Molecular weight of the unknown diprotic acid = 0.0015 x 0.25</w:t>
      </w:r>
    </w:p>
    <w:p>
      <w:pPr>
        <w:pStyle w:val="style0"/>
        <w:spacing w:before="240" w:after="240" w:lineRule="auto" w:line="480"/>
        <w:jc w:val="both"/>
        <w:rPr/>
      </w:pPr>
      <w:r>
        <w:t>Thus the molecular weight of the unknown diprotic acid = 0.00</w:t>
      </w:r>
      <w:r>
        <w:t>0375</w:t>
      </w: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center"/>
        <w:rPr>
          <w:b/>
        </w:rPr>
      </w:pPr>
      <w:r>
        <w:rPr>
          <w:b/>
        </w:rPr>
        <w:t>Titration of an unknown solid equilibrium acids</w:t>
      </w:r>
    </w:p>
    <w:p>
      <w:pPr>
        <w:pStyle w:val="style0"/>
        <w:spacing w:before="240" w:after="240" w:lineRule="auto" w:line="480"/>
        <w:jc w:val="both"/>
        <w:rPr>
          <w:b/>
        </w:rPr>
      </w:pPr>
      <w:r>
        <w:rPr>
          <w:b/>
        </w:rPr>
        <w:t>Introduction</w:t>
      </w:r>
    </w:p>
    <w:p>
      <w:pPr>
        <w:pStyle w:val="style0"/>
        <w:spacing w:before="240" w:after="240" w:lineRule="auto" w:line="480"/>
        <w:ind w:firstLine="720"/>
        <w:jc w:val="both"/>
        <w:rPr/>
      </w:pPr>
      <w:r>
        <w:t>Titration refers to the technique used to solve a given concentration to determine the concentration of another solution whose attention is unknown. The equilibrium, which is also called t</w:t>
      </w:r>
      <w:r>
        <w:t>he Equivalence Point, is a point in Titration whereby the amount of the titrant used becomes enough for complete neutralization of the analytic solution used (</w:t>
      </w:r>
      <w:r>
        <w:t>Diewok</w:t>
      </w:r>
      <w:r>
        <w:t>, 2012). An indicator refers to any substance that gives a visible sign, primarily color ch</w:t>
      </w:r>
      <w:r>
        <w:t>ange in the presence or absence of an acid or presence or absence of a base. During Titration, a base and an acid are used to complete the process. An indicator is used to determine when the equilibrium is attained during the process of Titration. Thus Tit</w:t>
      </w:r>
      <w:r>
        <w:t>ration of an unknown solid MONOPROTIC equilibrium acid and new solid DIPROTIC equilibrium acid with a strong base.</w:t>
      </w:r>
    </w:p>
    <w:p>
      <w:pPr>
        <w:pStyle w:val="style0"/>
        <w:spacing w:before="240" w:after="240" w:lineRule="auto" w:line="480"/>
        <w:jc w:val="both"/>
        <w:rPr>
          <w:b/>
        </w:rPr>
      </w:pPr>
    </w:p>
    <w:p>
      <w:pPr>
        <w:pStyle w:val="style0"/>
        <w:spacing w:before="240" w:after="240" w:lineRule="auto" w:line="480"/>
        <w:jc w:val="both"/>
        <w:rPr>
          <w:b/>
        </w:rPr>
      </w:pPr>
      <w:r>
        <w:rPr>
          <w:b/>
        </w:rPr>
        <w:t>Materials and requirements</w:t>
      </w:r>
    </w:p>
    <w:p>
      <w:pPr>
        <w:pStyle w:val="style0"/>
        <w:spacing w:before="240" w:after="240" w:lineRule="auto" w:line="480"/>
        <w:ind w:firstLine="720"/>
        <w:jc w:val="both"/>
        <w:rPr/>
      </w:pPr>
      <w:r>
        <w:t xml:space="preserve">50-mL burette, stirring bar or stirring rod, empty, clean beakers, </w:t>
      </w:r>
      <w:r>
        <w:t>LabPro</w:t>
      </w:r>
      <w:r>
        <w:t xml:space="preserve"> Interface, one </w:t>
      </w:r>
      <w:r>
        <w:t>buret</w:t>
      </w:r>
      <w:r>
        <w:t xml:space="preserve"> clamp, pH electrode</w:t>
      </w:r>
      <w:r>
        <w:t xml:space="preserve">, ring stand, one utility clamp, Phenolphthalein indicator solution, wash bottle, distilled water, Solid acid new, Computer, 0.100 M </w:t>
      </w:r>
      <w:r>
        <w:t>NaOH</w:t>
      </w:r>
      <w:r>
        <w:t xml:space="preserve"> solution, and a magnetic stirrer.</w:t>
      </w:r>
    </w:p>
    <w:p>
      <w:pPr>
        <w:pStyle w:val="style0"/>
        <w:spacing w:before="240" w:after="240" w:lineRule="auto" w:line="480"/>
        <w:jc w:val="both"/>
        <w:rPr/>
      </w:pPr>
      <w:r>
        <w:t>Titration of an unknown solid MONOPROTIC equilibrium acid with a strong base</w:t>
      </w:r>
    </w:p>
    <w:p>
      <w:pPr>
        <w:pStyle w:val="style0"/>
        <w:spacing w:before="240" w:after="240" w:lineRule="auto" w:line="480"/>
        <w:jc w:val="both"/>
        <w:rPr>
          <w:b/>
        </w:rPr>
      </w:pPr>
      <w:r>
        <w:rPr>
          <w:b/>
        </w:rPr>
        <w:t>Procedu</w:t>
      </w:r>
      <w:r>
        <w:rPr>
          <w:b/>
        </w:rPr>
        <w:t>re</w:t>
      </w:r>
    </w:p>
    <w:p>
      <w:pPr>
        <w:pStyle w:val="style0"/>
        <w:spacing w:before="240" w:after="240" w:lineRule="auto" w:line="480"/>
        <w:ind w:firstLine="720"/>
        <w:jc w:val="both"/>
        <w:rPr/>
      </w:pPr>
      <w:r>
        <w:t xml:space="preserve">The </w:t>
      </w:r>
      <w:r>
        <w:t>LoggerPro</w:t>
      </w:r>
      <w:r>
        <w:t xml:space="preserve"> software with the pH probe in channel A was set. The file under computers </w:t>
      </w:r>
      <w:r>
        <w:t>with the Chemistry acid-base titration was opened. It was ensured that the axes were well labeled with the Y-axis containing the pH scale from 0 to 14 pH units and t</w:t>
      </w:r>
      <w:r>
        <w:t xml:space="preserve">he X-axis having the Volume ranging from 0 to 50 </w:t>
      </w:r>
      <w:r>
        <w:t>mL.</w:t>
      </w:r>
      <w:r>
        <w:t xml:space="preserve"> The pH probe was then tested using the distilled water, which gave a decent reading of approximately 7.0. An unknown MONOPROTIC acid was then selected from the list, which was provided. The amount which </w:t>
      </w:r>
      <w:r>
        <w:t>was indicated for the chose a new MONOPROTIC acid was then weighed. The weighed unknown MONOPROTIC acid was then placed into a 50 mL of distilled water in a 250 mL beaker. Two drops of the phenolphthalein indicator solution were then added to the unknown a</w:t>
      </w:r>
      <w:r>
        <w:t>cid solution/mixture (</w:t>
      </w:r>
      <w:r>
        <w:t>Kulik</w:t>
      </w:r>
      <w:r>
        <w:t>, 2010). The indicator was expected to turn pink once all of the acids have been neutralized. A 50 mL burette was then obtained, rinsed with a few drops of 0.1 M sodium hydroxide solution, and then rinse was then disposed of. The</w:t>
      </w:r>
      <w:r>
        <w:t xml:space="preserve"> burette was then clamped in the ring stand using a burette stand, as shown by the figure below. </w:t>
      </w:r>
      <w:r>
        <w:t xml:space="preserve">The burette was then filled with 0.1 M sodium hydroxide up to the 0.00 mL level mark. The precise concentration of the </w:t>
      </w:r>
      <w:r>
        <w:t>NaOH</w:t>
      </w:r>
      <w:r>
        <w:t xml:space="preserve"> was then recorded in the lab data b</w:t>
      </w:r>
      <w:r>
        <w:t>ook table. The beaker which contained the unknown acid was then added enough distilled water to submerge the exposed tip of the pH probe, and the pH of the solution formed was then recorded.</w:t>
      </w:r>
    </w:p>
    <w:p>
      <w:pPr>
        <w:pStyle w:val="style0"/>
        <w:spacing w:before="240" w:after="240" w:lineRule="auto" w:line="480"/>
        <w:jc w:val="both"/>
        <w:rPr/>
      </w:pPr>
    </w:p>
    <w:p>
      <w:pPr>
        <w:pStyle w:val="style0"/>
        <w:spacing w:before="240" w:after="240" w:lineRule="auto" w:line="480"/>
        <w:jc w:val="both"/>
        <w:rPr/>
      </w:pPr>
      <w:r>
        <w:t>The setup</w:t>
      </w:r>
    </w:p>
    <w:p>
      <w:pPr>
        <w:pStyle w:val="style0"/>
        <w:spacing w:before="240" w:after="240" w:lineRule="auto" w:line="480"/>
        <w:jc w:val="both"/>
        <w:rPr/>
      </w:pPr>
      <w:r>
        <w:rPr>
          <w:noProof/>
        </w:rPr>
        <w:drawing>
          <wp:anchor distT="0" distB="0" distL="0" distR="0" simplePos="false" relativeHeight="2" behindDoc="false" locked="false" layoutInCell="true" allowOverlap="true">
            <wp:simplePos x="0" y="0"/>
            <wp:positionH relativeFrom="margin">
              <wp:posOffset>0</wp:posOffset>
            </wp:positionH>
            <wp:positionV relativeFrom="paragraph">
              <wp:posOffset>323850</wp:posOffset>
            </wp:positionV>
            <wp:extent cx="2305050" cy="3028315"/>
            <wp:effectExtent l="0" t="0" r="0" b="635"/>
            <wp:wrapTopAndBottom/>
            <wp:docPr id="1026"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 cstate="print"/>
                    <a:srcRect l="0" t="0" r="0" b="0"/>
                    <a:stretch/>
                  </pic:blipFill>
                  <pic:spPr>
                    <a:xfrm rot="0">
                      <a:off x="0" y="0"/>
                      <a:ext cx="2305050" cy="3028315"/>
                    </a:xfrm>
                    <a:prstGeom prst="rect"/>
                  </pic:spPr>
                </pic:pic>
              </a:graphicData>
            </a:graphic>
            <wp14:sizeRelH relativeFrom="margin">
              <wp14:pctWidth>0</wp14:pctWidth>
            </wp14:sizeRelH>
          </wp:anchor>
        </w:drawing>
      </w: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ind w:firstLine="720"/>
        <w:jc w:val="both"/>
        <w:rPr/>
      </w:pPr>
      <w:r>
        <w:t>The beaker and its contents were then placed in</w:t>
      </w:r>
      <w:r>
        <w:t xml:space="preserve"> a magnetic stirrer, and a stirring bar or stirring rod was added (</w:t>
      </w:r>
      <w:r>
        <w:t>Kulik</w:t>
      </w:r>
      <w:r>
        <w:t>, 2010). A utility clamp was used to attach the pH electrode to the ring stand, as shown in Figure 2. The pH electrode was positioned in the acid solution and adjusted not to be struck</w:t>
      </w:r>
      <w:r>
        <w:t xml:space="preserve"> by the stirring bar. The collect button was clicked, and the pH was then monitored for about 5 to 10 seconds. The pH was expected to stabilize. After the pH stabilization, then the STORE or KEEP button was then clicked. The Computer was then able to hold </w:t>
      </w:r>
      <w:r>
        <w:t xml:space="preserve">the pH values as it awaits recording the burette reading. The enter key was then pressed to store the data point recorded, making the experiment's first data pair saved. </w:t>
      </w:r>
    </w:p>
    <w:p>
      <w:pPr>
        <w:pStyle w:val="style0"/>
        <w:spacing w:before="240" w:after="240" w:lineRule="auto" w:line="480"/>
        <w:ind w:firstLine="720"/>
        <w:jc w:val="both"/>
        <w:rPr/>
      </w:pPr>
      <w:r>
        <w:t xml:space="preserve">The titration process was then started, and the actual volumes of each addition were </w:t>
      </w:r>
      <w:r>
        <w:t xml:space="preserve">accurately measured at every moment a pH was measured. About 0.5 mL of </w:t>
      </w:r>
      <w:r>
        <w:t>NaOH</w:t>
      </w:r>
      <w:r>
        <w:t xml:space="preserve"> was added until the pH increased faster and then slowed down. The </w:t>
      </w:r>
      <w:r>
        <w:t>NaOH</w:t>
      </w:r>
      <w:r>
        <w:t xml:space="preserve"> solution's addition was continued until the solution's pH slowly changed or leveled off to approximately 11. </w:t>
      </w:r>
      <w:r>
        <w:t>The pH at the point when the solution turned pink was then recorded. The file was then stored int5o a disc for reference, and the graph obtained from the data recorded was then printed. All the beaker contents were then discarded, and the beaker was rinsed</w:t>
      </w:r>
      <w:r>
        <w:t xml:space="preserve"> with a lot of water. The molecular weight of the unknown acid was then calculated from the data collected. The new acid from the data given was then calculated when the concentration of the acid used is considered half the attention of its conjugate base </w:t>
      </w:r>
      <w:r>
        <w:t xml:space="preserve">and halfway to the equivalence point. The molecular values and the </w:t>
      </w:r>
      <w:r>
        <w:t>Ka</w:t>
      </w:r>
      <w:r>
        <w:t xml:space="preserve"> values of the unknown acids were compared, and the comparisons were used to identify the acids.</w:t>
      </w:r>
    </w:p>
    <w:p>
      <w:pPr>
        <w:pStyle w:val="style0"/>
        <w:spacing w:before="240" w:after="240" w:lineRule="auto" w:line="480"/>
        <w:jc w:val="both"/>
        <w:rPr/>
      </w:pPr>
    </w:p>
    <w:p>
      <w:pPr>
        <w:pStyle w:val="style0"/>
        <w:spacing w:before="240" w:after="240" w:lineRule="auto" w:line="480"/>
        <w:jc w:val="both"/>
        <w:rPr>
          <w:b/>
        </w:rPr>
      </w:pPr>
      <w:r>
        <w:rPr>
          <w:b/>
        </w:rPr>
        <w:t>Results</w:t>
      </w:r>
    </w:p>
    <w:p>
      <w:pPr>
        <w:pStyle w:val="style0"/>
        <w:tabs>
          <w:tab w:val="left" w:leader="none" w:pos="961"/>
        </w:tabs>
        <w:spacing w:before="210" w:lineRule="auto" w:line="480"/>
        <w:ind w:right="710"/>
        <w:jc w:val="both"/>
        <w:rPr>
          <w:b/>
          <w:i/>
        </w:rPr>
      </w:pPr>
      <w:r>
        <w:rPr>
          <w:b/>
          <w:i/>
        </w:rPr>
        <w:t>Data collected</w:t>
      </w:r>
    </w:p>
    <w:tbl>
      <w:tblPr>
        <w:tblW w:w="4800" w:type="dxa"/>
        <w:tblLook w:val="04A0" w:firstRow="1" w:lastRow="0" w:firstColumn="1" w:lastColumn="0" w:noHBand="0" w:noVBand="1"/>
      </w:tblPr>
      <w:tblGrid>
        <w:gridCol w:w="1049"/>
        <w:gridCol w:w="1219"/>
        <w:gridCol w:w="1219"/>
        <w:gridCol w:w="1219"/>
        <w:gridCol w:w="216"/>
      </w:tblGrid>
      <w:tr>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b/>
                <w:i/>
                <w:color w:val="000000"/>
              </w:rPr>
            </w:pPr>
            <w:r>
              <w:rPr>
                <w:b/>
                <w:i/>
                <w:color w:val="000000"/>
              </w:rPr>
              <w:t>Latest: Volume (mL)</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b/>
                <w:i/>
                <w:color w:val="000000"/>
              </w:rPr>
            </w:pPr>
            <w:r>
              <w:rPr>
                <w:b/>
                <w:i/>
                <w:color w:val="000000"/>
              </w:rPr>
              <w:t>Latest: pH</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b/>
                <w:i/>
                <w:color w:val="000000"/>
              </w:rPr>
            </w:pPr>
            <w:r>
              <w:rPr>
                <w:b/>
                <w:i/>
                <w:color w:val="000000"/>
              </w:rPr>
              <w:t>Latest: d1 (pH/</w:t>
            </w:r>
            <w:r>
              <w:rPr>
                <w:b/>
                <w:i/>
                <w:color w:val="000000"/>
              </w:rPr>
              <w:t>vol</w:t>
            </w:r>
            <w:r>
              <w:rPr>
                <w:b/>
                <w:i/>
                <w:color w:val="000000"/>
              </w:rPr>
              <w:t>)</w:t>
            </w:r>
          </w:p>
        </w:tc>
        <w:tc>
          <w:tcPr>
            <w:tcW w:w="1920" w:type="dxa"/>
            <w:gridSpan w:val="2"/>
            <w:tcBorders>
              <w:top w:val="nil"/>
              <w:left w:val="nil"/>
              <w:bottom w:val="nil"/>
              <w:right w:val="nil"/>
            </w:tcBorders>
            <w:shd w:val="clear" w:color="auto" w:fill="auto"/>
            <w:noWrap/>
            <w:vAlign w:val="bottom"/>
            <w:hideMark/>
          </w:tcPr>
          <w:p>
            <w:pPr>
              <w:pStyle w:val="style0"/>
              <w:spacing w:lineRule="auto" w:line="480"/>
              <w:jc w:val="both"/>
              <w:rPr>
                <w:b/>
                <w:i/>
                <w:color w:val="000000"/>
              </w:rPr>
            </w:pPr>
            <w:r>
              <w:rPr>
                <w:b/>
                <w:i/>
                <w:color w:val="000000"/>
              </w:rPr>
              <w:t>Latest: d2 (d1/</w:t>
            </w:r>
            <w:r>
              <w:rPr>
                <w:b/>
                <w:i/>
                <w:color w:val="000000"/>
              </w:rPr>
              <w:t>vol</w:t>
            </w:r>
            <w:r>
              <w:rPr>
                <w:b/>
                <w:i/>
                <w:color w:val="000000"/>
              </w:rPr>
              <w:t>)</w:t>
            </w: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2.695767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0.013154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0.02526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2.697699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0.028634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0.008587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2.727501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0.027013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-0.01277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2.730537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0.010118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-0.01674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2.732745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0.007049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-0.00437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2.737436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0.008024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0.002306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2.740747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0.009612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0.005143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2.746266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0.013614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0.005447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2.755097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0.015545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0.003564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2.76172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0.016971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0.002108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2.772206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0.017569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0.002146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7.5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2.779657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0.018167</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0.005695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2.788763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0.02364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0.008263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8.5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2.804492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0.026859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0.008953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2.814703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0.032379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0.009318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9.5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2.837055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0.036932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0.008107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10</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2.852784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0.039259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0.010416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10.5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2.873757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0.047979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0.011623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2.925636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0.055264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0.01557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2.954059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0.070754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0.021431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2.999591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0.080118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0.009796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3.034638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0.084442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-0.02022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13.5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3.084033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0.059293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-0.03439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3.122943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0.032756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-0.00671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145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3.167647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0.106998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0.016565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3.228633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0.042706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0.024925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15.3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3.28134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0.112925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0.121911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15.6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3.330735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0.152541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0.084557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15.9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3.370197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0.15668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0.034788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16.2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3.422352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0.172088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0.007857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16.5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3.478922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0.159976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0.007941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16.8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3.515348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0.167642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0.052724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17.1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3.574126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0.20305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0.025461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17.4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3.645046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0.189599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-0.03811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17.8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3.708792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0.164127</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-0.03472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18.1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3.7546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0.163601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-0.00963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18.5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3.825244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0.161205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-0.00491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18.8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3.866361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0.160819</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-0.01164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19.1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3.922379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0.155292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-0.02525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19.5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3.976742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0.142293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-0.03211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19.8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4.020895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0.131538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-0.02952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20.1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4.055389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0.123811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-0.01984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20.5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4.10782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0.11756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-0.0124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4.161355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0.112928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-0.00902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21.5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4.220133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0.109415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-0.00843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4.272288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0.103345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-0.00478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22.5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4.32058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0.105322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-0.00486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4.379634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0.100631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-0.01124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23.5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4.422683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0.091111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-0.0066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4.467663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0.092766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0.003219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24.5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4.515127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0.097182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0.002392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4.566455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0.095664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-0.00163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25.5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4.610607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0.09387</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0.001709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4.659727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0.096262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0.010049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26.5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4.705259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0.105046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0.012901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4.765417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0.111255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0.006914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27.5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4.818124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0.111301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0.002476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4.875798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0.112727</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0.003557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28.5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4.931541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0.114015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0.00985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4.988111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0.121741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0.020459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29.5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5.05296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0.134343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0.031735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30</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5.120569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0.154166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0.040419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30.5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5.20777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0.174724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0.049879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5.293867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0.202734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0.065129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31.5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5.408112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0.239344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0.098297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5.535603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0.286466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0.201941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5.606523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0.391352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0.350511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5.703382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0.442851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0.389982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5.776786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0.535912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0.498195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32.85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5.941254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0.666542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0.657468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6.046944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0.791674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1.122946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6.22245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0.997725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2.538869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6.391334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1.717005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4.835046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6.894673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2.909008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7.054137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33.8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7.478866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4.750652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6.073417</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8.853941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5.793065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-0.19064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34.2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9.955823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4.756976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-7.03275</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34.4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10.8902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2.426182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-6.91568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34.7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11.15953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0.91321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-3.59199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11.31765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0.421076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-1.29882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11.40209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0.255454</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-0.3784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35.7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11.48129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0.211058</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-0.13888</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36.1</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11.57788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0.164003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-0.08509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36.5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11.60823</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0.13905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-0.0502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11.69902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0.127513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-0.04926</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37.5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11.74759</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0.085922</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-0.03659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38.5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11.82706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0.064316</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-0.01553</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40</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11.91288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0.049803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-0.00761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42</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12.00257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0.039057</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-0.00481</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12.06687</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0.031413</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-0.00359</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46</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12.1284</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0.025035</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-0.00302</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48</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12.16345</w:t>
            </w:r>
          </w:p>
        </w:tc>
        <w:tc>
          <w:tcPr>
            <w:tcW w:w="960"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0.019731</w:t>
            </w:r>
          </w:p>
        </w:tc>
        <w:tc>
          <w:tcPr>
            <w:tcW w:w="1843" w:type="dxa"/>
            <w:tcBorders>
              <w:top w:val="nil"/>
              <w:left w:val="nil"/>
              <w:bottom w:val="nil"/>
              <w:right w:val="nil"/>
            </w:tcBorders>
            <w:shd w:val="clear" w:color="auto" w:fill="auto"/>
            <w:noWrap/>
            <w:vAlign w:val="bottom"/>
            <w:hideMark/>
          </w:tcPr>
          <w:p>
            <w:pPr>
              <w:pStyle w:val="style0"/>
              <w:spacing w:lineRule="auto" w:line="480"/>
              <w:jc w:val="both"/>
              <w:rPr>
                <w:color w:val="000000"/>
              </w:rPr>
            </w:pPr>
            <w:r>
              <w:rPr>
                <w:color w:val="000000"/>
              </w:rPr>
              <w:t>-0.00274</w:t>
            </w:r>
          </w:p>
        </w:tc>
        <w:tc>
          <w:tcPr>
            <w:tcW w:w="77" w:type="dxa"/>
            <w:tcBorders>
              <w:top w:val="nil"/>
              <w:left w:val="nil"/>
              <w:bottom w:val="nil"/>
              <w:right w:val="nil"/>
            </w:tcBorders>
            <w:shd w:val="clear" w:color="auto" w:fill="auto"/>
            <w:noWrap/>
            <w:vAlign w:val="bottom"/>
            <w:hideMark/>
          </w:tcPr>
          <w:p>
            <w:pPr>
              <w:pStyle w:val="style0"/>
              <w:spacing w:lineRule="auto" w:line="480"/>
              <w:jc w:val="both"/>
              <w:rPr>
                <w:color w:val="000000"/>
              </w:rPr>
            </w:pPr>
          </w:p>
        </w:tc>
      </w:tr>
    </w:tbl>
    <w:p>
      <w:pPr>
        <w:pStyle w:val="style0"/>
        <w:tabs>
          <w:tab w:val="left" w:leader="none" w:pos="961"/>
        </w:tabs>
        <w:spacing w:before="210" w:lineRule="auto" w:line="480"/>
        <w:ind w:right="710"/>
        <w:jc w:val="both"/>
        <w:rPr/>
      </w:pPr>
    </w:p>
    <w:p>
      <w:pPr>
        <w:pStyle w:val="style0"/>
        <w:tabs>
          <w:tab w:val="left" w:leader="none" w:pos="961"/>
        </w:tabs>
        <w:spacing w:before="210" w:lineRule="auto" w:line="480"/>
        <w:ind w:right="710"/>
        <w:jc w:val="both"/>
        <w:rPr/>
      </w:pPr>
    </w:p>
    <w:p>
      <w:pPr>
        <w:pStyle w:val="style0"/>
        <w:tabs>
          <w:tab w:val="left" w:leader="none" w:pos="961"/>
        </w:tabs>
        <w:spacing w:before="210" w:lineRule="auto" w:line="480"/>
        <w:ind w:right="710"/>
        <w:jc w:val="both"/>
        <w:rPr/>
      </w:pPr>
    </w:p>
    <w:p>
      <w:pPr>
        <w:pStyle w:val="style0"/>
        <w:tabs>
          <w:tab w:val="left" w:leader="none" w:pos="961"/>
        </w:tabs>
        <w:spacing w:before="210" w:lineRule="auto" w:line="480"/>
        <w:ind w:right="710"/>
        <w:jc w:val="both"/>
        <w:rPr/>
      </w:pPr>
    </w:p>
    <w:p>
      <w:pPr>
        <w:pStyle w:val="style0"/>
        <w:tabs>
          <w:tab w:val="left" w:leader="none" w:pos="961"/>
        </w:tabs>
        <w:spacing w:before="210" w:lineRule="auto" w:line="480"/>
        <w:ind w:right="710"/>
        <w:jc w:val="both"/>
        <w:rPr/>
      </w:pPr>
    </w:p>
    <w:p>
      <w:pPr>
        <w:pStyle w:val="style0"/>
        <w:tabs>
          <w:tab w:val="left" w:leader="none" w:pos="961"/>
        </w:tabs>
        <w:spacing w:before="210" w:lineRule="auto" w:line="480"/>
        <w:ind w:right="710"/>
        <w:jc w:val="both"/>
        <w:rPr>
          <w:b/>
        </w:rPr>
      </w:pPr>
      <w:r>
        <w:rPr>
          <w:b/>
        </w:rPr>
        <w:t>Graph obtained from the data (</w:t>
      </w:r>
      <w:r>
        <w:rPr>
          <w:b/>
        </w:rPr>
        <w:t>Diewok</w:t>
      </w:r>
      <w:r>
        <w:rPr>
          <w:b/>
        </w:rPr>
        <w:t>, 2012)</w:t>
      </w:r>
    </w:p>
    <w:p>
      <w:pPr>
        <w:pStyle w:val="style0"/>
        <w:tabs>
          <w:tab w:val="left" w:leader="none" w:pos="961"/>
        </w:tabs>
        <w:spacing w:before="210" w:lineRule="auto" w:line="480"/>
        <w:ind w:right="710"/>
        <w:jc w:val="both"/>
        <w:rPr/>
      </w:pPr>
      <w:r>
        <w:rPr>
          <w:noProof/>
        </w:rPr>
      </w:r>
      <w:r>
        <w:rPr>
          <w:noProof/>
        </w:rPr>
      </w:r>
      <w:r>
        <w:rPr>
          <w:noProof/>
        </w:rPr>
      </w:r>
      <w:r>
        <w:rPr>
          <w:noProof/>
        </w:rPr>
        <w:drawing>
          <wp:inline distL="114300" distT="0" distB="0" distR="114300">
            <wp:extent cx="4572000" cy="2743200"/>
            <wp:effectExtent l="0" t="0" r="0" b="0"/>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r>
        <w:rPr>
          <w:noProof/>
        </w:rPr>
      </w:r>
    </w:p>
    <w:p>
      <w:pPr>
        <w:pStyle w:val="style0"/>
        <w:tabs>
          <w:tab w:val="left" w:leader="none" w:pos="961"/>
        </w:tabs>
        <w:spacing w:before="210" w:lineRule="auto" w:line="480"/>
        <w:ind w:right="710"/>
        <w:jc w:val="both"/>
        <w:rPr/>
      </w:pPr>
    </w:p>
    <w:p>
      <w:pPr>
        <w:pStyle w:val="style0"/>
        <w:tabs>
          <w:tab w:val="left" w:leader="none" w:pos="961"/>
        </w:tabs>
        <w:spacing w:before="210" w:lineRule="auto" w:line="480"/>
        <w:ind w:right="710"/>
        <w:jc w:val="both"/>
        <w:rPr>
          <w:b/>
        </w:rPr>
      </w:pPr>
      <w:r>
        <w:rPr>
          <w:b/>
        </w:rPr>
        <w:t>Post Lab Analysis Questions</w:t>
      </w:r>
    </w:p>
    <w:p>
      <w:pPr>
        <w:pStyle w:val="style0"/>
        <w:tabs>
          <w:tab w:val="left" w:leader="none" w:pos="961"/>
        </w:tabs>
        <w:spacing w:before="210" w:lineRule="auto" w:line="480"/>
        <w:ind w:right="710"/>
        <w:jc w:val="both"/>
        <w:rPr/>
      </w:pPr>
    </w:p>
    <w:p>
      <w:pPr>
        <w:pStyle w:val="style179"/>
        <w:numPr>
          <w:ilvl w:val="0"/>
          <w:numId w:val="2"/>
        </w:numPr>
        <w:spacing w:before="240" w:after="240" w:lineRule="auto" w:line="480"/>
        <w:jc w:val="both"/>
        <w:rPr>
          <w:b/>
          <w:i/>
        </w:rPr>
      </w:pPr>
      <w:r>
        <w:rPr>
          <w:b/>
          <w:i/>
        </w:rPr>
        <w:t xml:space="preserve">Write the balanced chemical equations for the reactions of the mono and diprotic </w:t>
      </w:r>
      <w:r>
        <w:rPr>
          <w:b/>
          <w:i/>
        </w:rPr>
        <w:t>acids with sodium hydroxide. Label the acid, base, conjugate acid, and conjugate base in each response.</w:t>
      </w:r>
    </w:p>
    <w:p>
      <w:pPr>
        <w:pStyle w:val="style0"/>
        <w:spacing w:before="240" w:after="240" w:lineRule="auto" w:line="480"/>
        <w:ind w:firstLine="360"/>
        <w:jc w:val="both"/>
        <w:rPr/>
      </w:pPr>
      <w:r>
        <w:t xml:space="preserve">The equation for the reaction between the Monoacid with </w:t>
      </w:r>
      <w:r>
        <w:t>NaOH</w:t>
      </w:r>
      <w:r>
        <w:t xml:space="preserve"> solution</w:t>
      </w:r>
    </w:p>
    <w:p>
      <w:pPr>
        <w:pStyle w:val="style0"/>
        <w:spacing w:before="240" w:after="240" w:lineRule="auto" w:line="480"/>
        <w:jc w:val="both"/>
        <w:rPr/>
      </w:pPr>
      <w:r>
        <w:t>XY (</w:t>
      </w:r>
      <w:r>
        <w:t>aq</w:t>
      </w:r>
      <w:r>
        <w:t xml:space="preserve">) + </w:t>
      </w:r>
      <w:r>
        <w:t>NaOH</w:t>
      </w:r>
      <w:r>
        <w:t xml:space="preserve"> (</w:t>
      </w:r>
      <w:r>
        <w:t>aq</w:t>
      </w:r>
      <w:r>
        <w:t>) → XOH (</w:t>
      </w:r>
      <w:r>
        <w:t>aq</w:t>
      </w:r>
      <w:r>
        <w:t xml:space="preserve">) + </w:t>
      </w:r>
      <w:r>
        <w:t>NaY</w:t>
      </w:r>
      <w:r>
        <w:t xml:space="preserve"> (</w:t>
      </w:r>
      <w:r>
        <w:t>aq</w:t>
      </w:r>
      <w:r>
        <w:t>)</w:t>
      </w:r>
    </w:p>
    <w:p>
      <w:pPr>
        <w:pStyle w:val="style0"/>
        <w:spacing w:before="240" w:after="240" w:lineRule="auto" w:line="480"/>
        <w:jc w:val="both"/>
        <w:rPr/>
      </w:pPr>
      <w:r>
        <w:t xml:space="preserve">The equation for the reaction between </w:t>
      </w:r>
      <w:r>
        <w:t xml:space="preserve">the diprotic acid with </w:t>
      </w:r>
      <w:r>
        <w:t>NaOH</w:t>
      </w:r>
      <w:r>
        <w:t xml:space="preserve"> solution</w:t>
      </w:r>
    </w:p>
    <w:p>
      <w:pPr>
        <w:pStyle w:val="style0"/>
        <w:spacing w:before="240" w:after="240" w:lineRule="auto" w:line="480"/>
        <w:jc w:val="both"/>
        <w:rPr/>
      </w:pPr>
      <w:r>
        <w:t>X2Y (</w:t>
      </w:r>
      <w:r>
        <w:t>aq</w:t>
      </w:r>
      <w:r>
        <w:t>) + 2NaOH (</w:t>
      </w:r>
      <w:r>
        <w:t>aq</w:t>
      </w:r>
      <w:r>
        <w:t>) → Na2Y (</w:t>
      </w:r>
      <w:r>
        <w:t>aq</w:t>
      </w:r>
      <w:r>
        <w:t>) + 2H2O (l)</w:t>
      </w:r>
    </w:p>
    <w:p>
      <w:pPr>
        <w:pStyle w:val="style0"/>
        <w:spacing w:before="240" w:after="240" w:lineRule="auto" w:line="480"/>
        <w:jc w:val="both"/>
        <w:rPr/>
      </w:pPr>
    </w:p>
    <w:p>
      <w:pPr>
        <w:pStyle w:val="style179"/>
        <w:numPr>
          <w:ilvl w:val="0"/>
          <w:numId w:val="2"/>
        </w:numPr>
        <w:spacing w:before="240" w:after="240" w:lineRule="auto" w:line="480"/>
        <w:jc w:val="both"/>
        <w:rPr>
          <w:b/>
          <w:i/>
        </w:rPr>
      </w:pPr>
      <w:r>
        <w:rPr>
          <w:b/>
          <w:i/>
        </w:rPr>
        <w:t xml:space="preserve">Identify two sources of error in this experiment, which may have resulted in a difference between the experimental and accepted </w:t>
      </w:r>
      <w:r>
        <w:rPr>
          <w:b/>
          <w:i/>
        </w:rPr>
        <w:t>Ka</w:t>
      </w:r>
      <w:r>
        <w:rPr>
          <w:b/>
          <w:i/>
        </w:rPr>
        <w:t xml:space="preserve"> value for the equilibrium acids.</w:t>
      </w:r>
    </w:p>
    <w:p>
      <w:pPr>
        <w:pStyle w:val="style0"/>
        <w:spacing w:before="240" w:after="240" w:lineRule="auto" w:line="480"/>
        <w:ind w:firstLine="360"/>
        <w:jc w:val="both"/>
        <w:rPr/>
      </w:pPr>
      <w:r>
        <w:t>The prima</w:t>
      </w:r>
      <w:r>
        <w:t xml:space="preserve">ry sources of error in this experiment, which could lead to the difference in the accepted </w:t>
      </w:r>
      <w:r>
        <w:t>Ka</w:t>
      </w:r>
      <w:r>
        <w:t xml:space="preserve"> value and the experimental </w:t>
      </w:r>
      <w:r>
        <w:t>Ka</w:t>
      </w:r>
      <w:r>
        <w:t xml:space="preserve"> value for the equilibrium acids are the errors made during the measurements of the masses and the mistakes made in the readings of t</w:t>
      </w:r>
      <w:r>
        <w:t>he burette volumes (</w:t>
      </w:r>
      <w:r>
        <w:t>Pracht</w:t>
      </w:r>
      <w:r>
        <w:t>, 2018).</w:t>
      </w: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179"/>
        <w:numPr>
          <w:ilvl w:val="0"/>
          <w:numId w:val="2"/>
        </w:numPr>
        <w:spacing w:before="240" w:after="240" w:lineRule="auto" w:line="480"/>
        <w:jc w:val="both"/>
        <w:rPr>
          <w:b/>
          <w:i/>
        </w:rPr>
      </w:pPr>
      <w:r>
        <w:rPr>
          <w:b/>
          <w:i/>
        </w:rPr>
        <w:t xml:space="preserve">Suppose the </w:t>
      </w:r>
      <w:r>
        <w:rPr>
          <w:b/>
          <w:i/>
        </w:rPr>
        <w:t>Ka</w:t>
      </w:r>
      <w:r>
        <w:rPr>
          <w:b/>
          <w:i/>
        </w:rPr>
        <w:t xml:space="preserve"> of hydrofluoric acid is 3.5 x 10-4. For what pH would this acid/conj. Base be a suitable buffer? Explain your answer.</w:t>
      </w:r>
    </w:p>
    <w:p>
      <w:pPr>
        <w:pStyle w:val="style0"/>
        <w:spacing w:before="240" w:after="240" w:lineRule="auto" w:line="480"/>
        <w:ind w:firstLine="360"/>
        <w:jc w:val="both"/>
        <w:rPr/>
      </w:pPr>
      <w:r>
        <w:t xml:space="preserve">If the </w:t>
      </w:r>
      <w:r>
        <w:t>pKa</w:t>
      </w:r>
      <w:r>
        <w:t xml:space="preserve"> of the hydrofluoric acid is 3.5 x 10-4, then the PH of the solution will a</w:t>
      </w:r>
      <w:r>
        <w:t xml:space="preserve">lso be equal to 3.5 x 10-4 since, from the expression pH = </w:t>
      </w:r>
      <w:r>
        <w:t>pKa</w:t>
      </w:r>
      <w:r>
        <w:t xml:space="preserve">, the pH and </w:t>
      </w:r>
      <w:r>
        <w:t>pKa</w:t>
      </w:r>
      <w:r>
        <w:t xml:space="preserve"> of a given acid are considered to be identical.</w:t>
      </w:r>
    </w:p>
    <w:p>
      <w:pPr>
        <w:pStyle w:val="style179"/>
        <w:numPr>
          <w:ilvl w:val="0"/>
          <w:numId w:val="2"/>
        </w:numPr>
        <w:spacing w:before="240" w:after="240" w:lineRule="auto" w:line="480"/>
        <w:jc w:val="both"/>
        <w:rPr>
          <w:b/>
          <w:i/>
        </w:rPr>
      </w:pPr>
      <w:r>
        <w:rPr>
          <w:b/>
          <w:i/>
        </w:rPr>
        <w:t>The molecular weights of the unknown acids are used.</w:t>
      </w:r>
    </w:p>
    <w:p>
      <w:pPr>
        <w:pStyle w:val="style179"/>
        <w:numPr>
          <w:ilvl w:val="0"/>
          <w:numId w:val="3"/>
        </w:numPr>
        <w:spacing w:before="240" w:after="240" w:lineRule="auto" w:line="480"/>
        <w:jc w:val="both"/>
        <w:rPr/>
      </w:pPr>
      <w:r>
        <w:t xml:space="preserve">The molecular weight of the monoacid used </w:t>
      </w: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r>
        <w:t>Equation of the reaction</w:t>
      </w:r>
    </w:p>
    <w:p>
      <w:pPr>
        <w:pStyle w:val="style0"/>
        <w:spacing w:before="240" w:after="240" w:lineRule="auto" w:line="480"/>
        <w:jc w:val="both"/>
        <w:rPr/>
      </w:pPr>
      <w:r>
        <w:t>XY (</w:t>
      </w:r>
      <w:r>
        <w:t>aq</w:t>
      </w:r>
      <w:r>
        <w:t xml:space="preserve">) </w:t>
      </w:r>
      <w:r>
        <w:t xml:space="preserve">+ </w:t>
      </w:r>
      <w:r>
        <w:t>NaOH</w:t>
      </w:r>
      <w:r>
        <w:t xml:space="preserve"> (</w:t>
      </w:r>
      <w:r>
        <w:t>aq</w:t>
      </w:r>
      <w:r>
        <w:t>) → XOH (</w:t>
      </w:r>
      <w:r>
        <w:t>aq</w:t>
      </w:r>
      <w:r>
        <w:t xml:space="preserve">) + </w:t>
      </w:r>
      <w:r>
        <w:t>NaY</w:t>
      </w:r>
      <w:r>
        <w:t xml:space="preserve"> (</w:t>
      </w:r>
      <w:r>
        <w:t>aq</w:t>
      </w:r>
      <w:r>
        <w:t>)</w:t>
      </w:r>
    </w:p>
    <w:p>
      <w:pPr>
        <w:pStyle w:val="style0"/>
        <w:spacing w:before="240" w:after="240" w:lineRule="auto" w:line="480"/>
        <w:jc w:val="both"/>
        <w:rPr/>
      </w:pPr>
      <w:r>
        <w:t xml:space="preserve">Moles of the </w:t>
      </w:r>
      <w:r>
        <w:t>NaOH</w:t>
      </w:r>
      <w:r>
        <w:t xml:space="preserve"> used </w:t>
      </w:r>
    </w:p>
    <w:p>
      <w:pPr>
        <w:pStyle w:val="style0"/>
        <w:spacing w:before="240" w:after="240" w:lineRule="auto" w:line="480"/>
        <w:jc w:val="both"/>
        <w:rPr/>
      </w:pPr>
      <w:r>
        <w:t xml:space="preserve">Moles of the </w:t>
      </w:r>
      <w:r>
        <w:t>NaOH</w:t>
      </w:r>
      <w:r>
        <w:t xml:space="preserve"> = 301000 x 0.100</w:t>
      </w:r>
    </w:p>
    <w:p>
      <w:pPr>
        <w:pStyle w:val="style0"/>
        <w:spacing w:before="240" w:after="240" w:lineRule="auto" w:line="480"/>
        <w:jc w:val="both"/>
        <w:rPr/>
      </w:pPr>
      <w:r>
        <w:t xml:space="preserve">Moles of the </w:t>
      </w:r>
      <w:r>
        <w:t>NaOH</w:t>
      </w:r>
      <w:r>
        <w:t xml:space="preserve"> = 0.003 moles</w:t>
      </w:r>
    </w:p>
    <w:p>
      <w:pPr>
        <w:pStyle w:val="style0"/>
        <w:spacing w:before="240" w:after="240" w:lineRule="auto" w:line="480"/>
        <w:jc w:val="both"/>
        <w:rPr/>
      </w:pPr>
      <w:r>
        <w:t xml:space="preserve">Thus from a mole ratio of 1:1, the moles of the acid will be </w:t>
      </w:r>
    </w:p>
    <w:p>
      <w:pPr>
        <w:pStyle w:val="style0"/>
        <w:spacing w:before="240" w:after="240" w:lineRule="auto" w:line="480"/>
        <w:jc w:val="both"/>
        <w:rPr/>
      </w:pPr>
      <w:r>
        <w:t>Moles of the monoacid = 0.003 moles</w:t>
      </w:r>
    </w:p>
    <w:p>
      <w:pPr>
        <w:pStyle w:val="style0"/>
        <w:spacing w:before="240" w:after="240" w:lineRule="auto" w:line="480"/>
        <w:jc w:val="both"/>
        <w:rPr/>
      </w:pPr>
      <w:r>
        <w:t>Mass of the monoacid is 20g; thus</w:t>
      </w:r>
      <w:r>
        <w:t>, the molar weight of the acid is</w:t>
      </w:r>
    </w:p>
    <w:p>
      <w:pPr>
        <w:pStyle w:val="style0"/>
        <w:spacing w:before="240" w:after="240" w:lineRule="auto" w:line="480"/>
        <w:jc w:val="both"/>
        <w:rPr/>
      </w:pPr>
      <w:r>
        <w:t xml:space="preserve">Molar weight = mass x moles </w:t>
      </w:r>
    </w:p>
    <w:p>
      <w:pPr>
        <w:pStyle w:val="style0"/>
        <w:spacing w:before="240" w:after="240" w:lineRule="auto" w:line="480"/>
        <w:jc w:val="both"/>
        <w:rPr/>
      </w:pPr>
      <w:r>
        <w:t>Molar weight = 20 x 0.003</w:t>
      </w:r>
    </w:p>
    <w:p>
      <w:pPr>
        <w:pStyle w:val="style0"/>
        <w:spacing w:before="240" w:after="240" w:lineRule="auto" w:line="480"/>
        <w:jc w:val="both"/>
        <w:rPr/>
      </w:pPr>
      <w:r>
        <w:t>Molar weight = 0.06g (</w:t>
      </w:r>
      <w:r>
        <w:t>Daoud</w:t>
      </w:r>
      <w:r>
        <w:t>, 2014)</w:t>
      </w:r>
    </w:p>
    <w:p>
      <w:pPr>
        <w:pStyle w:val="style0"/>
        <w:spacing w:before="240" w:after="240" w:lineRule="auto" w:line="480"/>
        <w:jc w:val="both"/>
        <w:rPr/>
      </w:pPr>
      <w:r>
        <w:t>Thus the monoacid is Hydrochloric acid (</w:t>
      </w:r>
      <w:r>
        <w:t>Daoud</w:t>
      </w:r>
      <w:r>
        <w:t>, 2014)</w:t>
      </w:r>
    </w:p>
    <w:p>
      <w:pPr>
        <w:pStyle w:val="style179"/>
        <w:numPr>
          <w:ilvl w:val="0"/>
          <w:numId w:val="3"/>
        </w:numPr>
        <w:spacing w:before="240" w:after="240" w:lineRule="auto" w:line="480"/>
        <w:jc w:val="both"/>
        <w:rPr/>
      </w:pPr>
      <w:r>
        <w:t xml:space="preserve">The molecular weight of the diprotic acid used </w:t>
      </w:r>
    </w:p>
    <w:p>
      <w:pPr>
        <w:pStyle w:val="style0"/>
        <w:spacing w:before="240" w:after="240" w:lineRule="auto" w:line="480"/>
        <w:jc w:val="both"/>
        <w:rPr/>
      </w:pPr>
      <w:r>
        <w:t>Equation of the reaction</w:t>
      </w:r>
    </w:p>
    <w:p>
      <w:pPr>
        <w:pStyle w:val="style0"/>
        <w:spacing w:before="240" w:after="240" w:lineRule="auto" w:line="480"/>
        <w:jc w:val="both"/>
        <w:rPr/>
      </w:pPr>
      <w:r>
        <w:t xml:space="preserve">X2Y </w:t>
      </w:r>
      <w:r>
        <w:t>(</w:t>
      </w:r>
      <w:r>
        <w:t>aq</w:t>
      </w:r>
      <w:r>
        <w:t>) + 2NaOH (</w:t>
      </w:r>
      <w:r>
        <w:t>aq</w:t>
      </w:r>
      <w:r>
        <w:t>) → Na2Y (</w:t>
      </w:r>
      <w:r>
        <w:t>aq</w:t>
      </w:r>
      <w:r>
        <w:t>) + 2H2O (l)</w:t>
      </w:r>
    </w:p>
    <w:p>
      <w:pPr>
        <w:pStyle w:val="style0"/>
        <w:spacing w:before="240" w:after="240" w:lineRule="auto" w:line="480"/>
        <w:jc w:val="both"/>
        <w:rPr/>
      </w:pPr>
    </w:p>
    <w:p>
      <w:pPr>
        <w:pStyle w:val="style0"/>
        <w:spacing w:before="240" w:after="240" w:lineRule="auto" w:line="480"/>
        <w:jc w:val="both"/>
        <w:rPr/>
      </w:pPr>
      <w:r>
        <w:t xml:space="preserve">Moles of the </w:t>
      </w:r>
      <w:r>
        <w:t>NaOH</w:t>
      </w:r>
      <w:r>
        <w:t xml:space="preserve"> used </w:t>
      </w:r>
    </w:p>
    <w:p>
      <w:pPr>
        <w:pStyle w:val="style0"/>
        <w:spacing w:before="240" w:after="240" w:lineRule="auto" w:line="480"/>
        <w:jc w:val="both"/>
        <w:rPr/>
      </w:pPr>
      <w:r>
        <w:t xml:space="preserve">Moles of the </w:t>
      </w:r>
      <w:r>
        <w:t>NaOH</w:t>
      </w:r>
      <w:r>
        <w:t xml:space="preserve"> = 301000 x 0.100</w:t>
      </w:r>
    </w:p>
    <w:p>
      <w:pPr>
        <w:pStyle w:val="style0"/>
        <w:spacing w:before="240" w:after="240" w:lineRule="auto" w:line="480"/>
        <w:jc w:val="both"/>
        <w:rPr/>
      </w:pPr>
      <w:r>
        <w:t xml:space="preserve">Moles of the </w:t>
      </w:r>
      <w:r>
        <w:t>NaOH</w:t>
      </w:r>
      <w:r>
        <w:t xml:space="preserve"> = 0.003 moles</w:t>
      </w:r>
    </w:p>
    <w:p>
      <w:pPr>
        <w:pStyle w:val="style0"/>
        <w:spacing w:before="240" w:after="240" w:lineRule="auto" w:line="480"/>
        <w:jc w:val="both"/>
        <w:rPr/>
      </w:pPr>
      <w:r>
        <w:t>Thus the number of acid from the mole ratio become</w:t>
      </w:r>
    </w:p>
    <w:p>
      <w:pPr>
        <w:pStyle w:val="style0"/>
        <w:spacing w:before="240" w:after="240" w:lineRule="auto" w:line="480"/>
        <w:jc w:val="both"/>
        <w:rPr/>
      </w:pPr>
      <w:r>
        <w:t>Moles of the unknown diprotic acid = 0.003 ÷ 2</w:t>
      </w:r>
    </w:p>
    <w:p>
      <w:pPr>
        <w:pStyle w:val="style0"/>
        <w:spacing w:before="240" w:after="240" w:lineRule="auto" w:line="480"/>
        <w:jc w:val="both"/>
        <w:rPr/>
      </w:pPr>
      <w:r>
        <w:t>Moles of the unknown dipr</w:t>
      </w:r>
      <w:r>
        <w:t xml:space="preserve">otic acid = 0.0015 moles </w:t>
      </w:r>
    </w:p>
    <w:p>
      <w:pPr>
        <w:pStyle w:val="style0"/>
        <w:spacing w:before="240" w:after="240" w:lineRule="auto" w:line="480"/>
        <w:jc w:val="both"/>
        <w:rPr/>
      </w:pPr>
      <w:r>
        <w:t>Thus the molecular weight of the unknown diprotic acid = moles x mass of the acid</w:t>
      </w:r>
    </w:p>
    <w:p>
      <w:pPr>
        <w:pStyle w:val="style0"/>
        <w:spacing w:before="240" w:after="240" w:lineRule="auto" w:line="480"/>
        <w:jc w:val="both"/>
        <w:rPr/>
      </w:pPr>
      <w:r>
        <w:t>The molecular weight of the unknown diprotic acid = 0.0015 x 20</w:t>
      </w:r>
    </w:p>
    <w:p>
      <w:pPr>
        <w:pStyle w:val="style0"/>
        <w:spacing w:before="240" w:after="240" w:lineRule="auto" w:line="480"/>
        <w:jc w:val="both"/>
        <w:rPr/>
      </w:pPr>
      <w:r>
        <w:t>Thus the molecular weight of the unknown diprotic acid =. 0.03g</w:t>
      </w:r>
    </w:p>
    <w:p>
      <w:pPr>
        <w:pStyle w:val="style0"/>
        <w:spacing w:before="240" w:after="240" w:lineRule="auto" w:line="480"/>
        <w:jc w:val="both"/>
        <w:rPr/>
      </w:pPr>
      <w:r>
        <w:t>Thus the new diproti</w:t>
      </w:r>
      <w:r>
        <w:t>c acid is sulphuric acid.</w:t>
      </w: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center"/>
        <w:rPr/>
      </w:pPr>
      <w:r>
        <w:t>References</w:t>
      </w:r>
    </w:p>
    <w:bookmarkStart w:id="0" w:name="_GoBack"/>
    <w:bookmarkEnd w:id="0"/>
    <w:p>
      <w:pPr>
        <w:pStyle w:val="style0"/>
        <w:spacing w:before="240" w:after="240" w:lineRule="auto" w:line="480"/>
        <w:jc w:val="both"/>
        <w:rPr/>
      </w:pPr>
    </w:p>
    <w:p>
      <w:pPr>
        <w:pStyle w:val="style0"/>
        <w:spacing w:before="240" w:after="240" w:lineRule="auto" w:line="480"/>
        <w:jc w:val="both"/>
        <w:rPr/>
      </w:pPr>
      <w:r>
        <w:t>Daoud</w:t>
      </w:r>
      <w:r>
        <w:t xml:space="preserve">, D., </w:t>
      </w:r>
      <w:r>
        <w:t>Douadi</w:t>
      </w:r>
      <w:r>
        <w:t xml:space="preserve">, T., </w:t>
      </w:r>
      <w:r>
        <w:t>Issaadi</w:t>
      </w:r>
      <w:r>
        <w:t xml:space="preserve">, S., &amp; </w:t>
      </w:r>
      <w:r>
        <w:t>Chafaa</w:t>
      </w:r>
      <w:r>
        <w:t xml:space="preserve">, S. (2014). Adsorption and corrosion inhibition of </w:t>
      </w:r>
      <w:r>
        <w:tab/>
      </w:r>
      <w:r>
        <w:t xml:space="preserve">newly synthesized </w:t>
      </w:r>
      <w:r>
        <w:t>thiophene</w:t>
      </w:r>
      <w:r>
        <w:t xml:space="preserve"> Schiff base on mild steel X52 in </w:t>
      </w:r>
      <w:r>
        <w:t>HCl</w:t>
      </w:r>
      <w:r>
        <w:t xml:space="preserve"> and H2SO4 solutions. </w:t>
      </w:r>
      <w:r>
        <w:tab/>
      </w:r>
      <w:r>
        <w:t>Corrosion Science, 79</w:t>
      </w:r>
    </w:p>
    <w:p>
      <w:pPr>
        <w:pStyle w:val="style0"/>
        <w:spacing w:before="240" w:after="240" w:lineRule="auto" w:line="480"/>
        <w:jc w:val="both"/>
        <w:rPr/>
      </w:pPr>
      <w:r>
        <w:t>Diewok</w:t>
      </w:r>
      <w:r>
        <w:t xml:space="preserve">, J., De Juan, A., </w:t>
      </w:r>
      <w:r>
        <w:t>Tauler</w:t>
      </w:r>
      <w:r>
        <w:t xml:space="preserve">, R., &amp; Lendl, B. (2012). Quantitation of mixtures of diprotic </w:t>
      </w:r>
      <w:r>
        <w:tab/>
      </w:r>
      <w:r>
        <w:t xml:space="preserve">organic acids by FT-IR flow titrations and multivariate curve resolution. Applied </w:t>
      </w:r>
      <w:r>
        <w:tab/>
      </w:r>
      <w:r>
        <w:t>Spectroscopy, 56(1), 40-50.</w:t>
      </w:r>
    </w:p>
    <w:p>
      <w:pPr>
        <w:pStyle w:val="style0"/>
        <w:spacing w:before="240" w:after="240" w:lineRule="auto" w:line="480"/>
        <w:jc w:val="both"/>
        <w:rPr/>
      </w:pPr>
      <w:r>
        <w:t>Kulik</w:t>
      </w:r>
      <w:r>
        <w:t xml:space="preserve">, D. A., Aja, S. U., </w:t>
      </w:r>
      <w:r>
        <w:t>Sinitsyn</w:t>
      </w:r>
      <w:r>
        <w:t xml:space="preserve">, V. A., &amp; Wood, S. A. (2010). Acid-base surface chemistry and </w:t>
      </w:r>
      <w:r>
        <w:tab/>
      </w:r>
      <w:r>
        <w:t xml:space="preserve">sorption of some lanthanides on K+-saturated Marblehead </w:t>
      </w:r>
      <w:r>
        <w:t>illite</w:t>
      </w:r>
      <w:r>
        <w:t xml:space="preserve">: II. A multisite–surface </w:t>
      </w:r>
      <w:r>
        <w:tab/>
      </w:r>
      <w:r>
        <w:t>complexation</w:t>
      </w:r>
      <w:r>
        <w:t xml:space="preserve"> modeling. </w:t>
      </w:r>
      <w:r>
        <w:t>Geochimica</w:t>
      </w:r>
      <w:r>
        <w:t xml:space="preserve"> </w:t>
      </w:r>
      <w:r>
        <w:t>et</w:t>
      </w:r>
      <w:r>
        <w:t xml:space="preserve"> </w:t>
      </w:r>
      <w:r>
        <w:t>Cosmochimica</w:t>
      </w:r>
      <w:r>
        <w:t xml:space="preserve"> </w:t>
      </w:r>
      <w:r>
        <w:t>Acta</w:t>
      </w:r>
      <w:r>
        <w:t>, 64(2), 195-213.</w:t>
      </w:r>
    </w:p>
    <w:p>
      <w:pPr>
        <w:pStyle w:val="style0"/>
        <w:spacing w:before="240" w:after="240" w:lineRule="auto" w:line="480"/>
        <w:jc w:val="both"/>
        <w:rPr/>
      </w:pPr>
      <w:r>
        <w:t>Persat</w:t>
      </w:r>
      <w:r>
        <w:t xml:space="preserve">, A., Chambers, R. D., &amp; Santiago, J. G. (2009). Basic principles of electrolyte chemistry for </w:t>
      </w:r>
      <w:r>
        <w:tab/>
      </w:r>
      <w:r>
        <w:t xml:space="preserve">microfluidic </w:t>
      </w:r>
      <w:r>
        <w:t>electrokinetics</w:t>
      </w:r>
      <w:r>
        <w:t xml:space="preserve">. Part I: acid-base </w:t>
      </w:r>
      <w:r>
        <w:t>equilibria</w:t>
      </w:r>
      <w:r>
        <w:t xml:space="preserve"> and pH buffers. Lab on a Chip, </w:t>
      </w:r>
      <w:r>
        <w:tab/>
      </w:r>
      <w:r>
        <w:t>9(17), 2437-2453.</w:t>
      </w:r>
    </w:p>
    <w:p>
      <w:pPr>
        <w:pStyle w:val="style0"/>
        <w:spacing w:before="240" w:after="240" w:lineRule="auto" w:line="480"/>
        <w:jc w:val="both"/>
        <w:rPr/>
      </w:pPr>
      <w:r>
        <w:t>Pracht</w:t>
      </w:r>
      <w:r>
        <w:t xml:space="preserve">, P., </w:t>
      </w:r>
      <w:r>
        <w:t>Wilcken</w:t>
      </w:r>
      <w:r>
        <w:t xml:space="preserve">, R., </w:t>
      </w:r>
      <w:r>
        <w:t>Udvarhelyi</w:t>
      </w:r>
      <w:r>
        <w:t xml:space="preserve">, A., </w:t>
      </w:r>
      <w:r>
        <w:t>Rodde</w:t>
      </w:r>
      <w:r>
        <w:t xml:space="preserve">, S., &amp; </w:t>
      </w:r>
      <w:r>
        <w:t>Grimme</w:t>
      </w:r>
      <w:r>
        <w:t>, S. (2018). High accuracy quantum-</w:t>
      </w:r>
      <w:r>
        <w:tab/>
      </w:r>
      <w:r>
        <w:t xml:space="preserve">chemistry-based calculation and blind prediction of macroscopic </w:t>
      </w:r>
      <w:r>
        <w:t>pKa</w:t>
      </w:r>
      <w:r>
        <w:t xml:space="preserve"> values in the context </w:t>
      </w:r>
      <w:r>
        <w:tab/>
      </w:r>
      <w:r>
        <w:t>of the SAMPL6 challenge. Journal of Computer-Aided Molecular Design, 32(10), 1139-</w:t>
      </w:r>
      <w:r>
        <w:tab/>
      </w:r>
      <w:r>
        <w:t>1149.</w:t>
      </w:r>
    </w:p>
    <w:sectPr>
      <w:headerReference w:type="default" r:id="rId4"/>
      <w:headerReference w:type="first" r:id="rId5"/>
      <w:pgSz w:w="12240" w:h="15840" w:orient="portrait"/>
      <w:pgMar w:top="1440" w:right="1440" w:bottom="1440" w:left="1440" w:header="708" w:footer="708"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 w:name="Calibri">
    <w:altName w:val="Calibri"/>
    <w:panose1 w:val="020f0502020002030204"/>
    <w:charset w:val="00"/>
    <w:family w:val="swiss"/>
    <w:pitch w:val="variable"/>
    <w:sig w:usb0="E00002FF" w:usb1="4000ACFF" w:usb2="00000001"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LAB REPORT</w:t>
    </w:r>
    <w:r>
      <w:t xml:space="preserve">                                                                                                                              </w:t>
    </w:r>
    <w:r>
      <w:rPr/>
      <w:fldChar w:fldCharType="begin"/>
    </w:r>
    <w:r>
      <w:instrText xml:space="preserve"> PAGE   \* MERGEFORMAT </w:instrText>
    </w:r>
    <w:r>
      <w:rPr/>
      <w:fldChar w:fldCharType="separate"/>
    </w:r>
    <w:r>
      <w:rPr>
        <w:noProof/>
      </w:rPr>
      <w:t>16</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Running head: </w:t>
    </w:r>
    <w:r>
      <w:t>LAB REPORT</w:t>
    </w:r>
    <w:r>
      <w:t xml:space="preserve">                                                                        </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2B89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D07C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86DAEB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sz w:val="24"/>
      <w:szCs w:val="24"/>
    </w:rPr>
  </w:style>
  <w:style w:type="paragraph" w:styleId="style1">
    <w:name w:val="heading 1"/>
    <w:basedOn w:val="style0"/>
    <w:next w:val="style0"/>
    <w:qFormat/>
    <w:pPr>
      <w:keepNext/>
      <w:spacing w:before="240" w:after="60"/>
      <w:outlineLvl w:val="0"/>
    </w:pPr>
    <w:rPr>
      <w:b/>
      <w:bCs/>
      <w:kern w:val="36"/>
      <w:sz w:val="48"/>
      <w:szCs w:val="48"/>
    </w:rPr>
  </w:style>
  <w:style w:type="paragraph" w:styleId="style2">
    <w:name w:val="heading 2"/>
    <w:basedOn w:val="style0"/>
    <w:next w:val="style0"/>
    <w:qFormat/>
    <w:pPr>
      <w:keepNext/>
      <w:spacing w:before="240" w:after="60"/>
      <w:outlineLvl w:val="1"/>
    </w:pPr>
    <w:rPr>
      <w:b/>
      <w:bCs/>
      <w:iCs/>
      <w:sz w:val="36"/>
      <w:szCs w:val="36"/>
    </w:rPr>
  </w:style>
  <w:style w:type="paragraph" w:styleId="style3">
    <w:name w:val="heading 3"/>
    <w:basedOn w:val="style0"/>
    <w:next w:val="style0"/>
    <w:qFormat/>
    <w:pPr>
      <w:keepNext/>
      <w:spacing w:before="240" w:after="60"/>
      <w:outlineLvl w:val="2"/>
    </w:pPr>
    <w:rPr>
      <w:b/>
      <w:bCs/>
      <w:sz w:val="28"/>
      <w:szCs w:val="28"/>
    </w:rPr>
  </w:style>
  <w:style w:type="paragraph" w:styleId="style4">
    <w:name w:val="heading 4"/>
    <w:basedOn w:val="style0"/>
    <w:next w:val="style0"/>
    <w:qFormat/>
    <w:pPr>
      <w:keepNext/>
      <w:spacing w:before="240" w:after="60"/>
      <w:outlineLvl w:val="3"/>
    </w:pPr>
    <w:rPr>
      <w:b/>
      <w:bCs/>
    </w:rPr>
  </w:style>
  <w:style w:type="paragraph" w:styleId="style5">
    <w:name w:val="heading 5"/>
    <w:basedOn w:val="style0"/>
    <w:next w:val="style0"/>
    <w:qFormat/>
    <w:pPr>
      <w:spacing w:before="240" w:after="60"/>
      <w:outlineLvl w:val="4"/>
    </w:pPr>
    <w:rPr>
      <w:b/>
      <w:bCs/>
      <w:iCs/>
      <w:sz w:val="20"/>
      <w:szCs w:val="20"/>
    </w:rPr>
  </w:style>
  <w:style w:type="paragraph" w:styleId="style6">
    <w:name w:val="heading 6"/>
    <w:basedOn w:val="style0"/>
    <w:next w:val="style0"/>
    <w:qFormat/>
    <w:pPr>
      <w:spacing w:before="240" w:after="60"/>
      <w:outlineLvl w:val="5"/>
    </w:pPr>
    <w:rPr>
      <w:b/>
      <w:bCs/>
      <w:sz w:val="16"/>
      <w:szCs w:val="1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cc9439ad-aace-4c19-aa4e-ba2569db0dcf"/>
    <w:basedOn w:val="style65"/>
    <w:next w:val="style4097"/>
    <w:link w:val="style31"/>
    <w:uiPriority w:val="99"/>
    <w:rPr>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87b42799-1f77-4446-9451-2895df74f549"/>
    <w:basedOn w:val="style65"/>
    <w:next w:val="style4098"/>
    <w:link w:val="style32"/>
    <w:uiPriority w:val="99"/>
    <w:rPr>
      <w:sz w:val="24"/>
      <w:szCs w:val="24"/>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chart" Target="charts/chart1.xml"/><Relationship Id="rId4" Type="http://schemas.openxmlformats.org/officeDocument/2006/relationships/header" Target="header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charts/_rels/chart1.xml.rels><?xml version="1.0" encoding="UTF-8"?>
<Relationships xmlns="http://schemas.openxmlformats.org/package/2006/relationships"><Relationship Id="rId1" Type="http://schemas.openxmlformats.org/officeDocument/2006/relationships/oleObject" TargetMode="External" Target="file:/C:/Users/GK.%20MWANIAH/Downloads/titration%20of%20diprotic%20acid%20A%20(1).csv"/><Relationship Id="rId2" Type="http://schemas.microsoft.com/office/2011/relationships/chartStyle" Target="style1.xml"/><Relationship Id="rId3"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a:t>
            </a:r>
            <a:r>
              <a:rPr lang="en-US" baseline="0"/>
              <a:t> Graph of pH against Volume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pH</c:v>
          </c:tx>
          <c:spPr>
            <a:ln w="28575" cap="rnd">
              <a:solidFill>
                <a:schemeClr val="accent1"/>
              </a:solidFill>
              <a:round/>
            </a:ln>
            <a:effectLst/>
          </c:spPr>
          <c:marker>
            <c:symbol val="none"/>
          </c:marker>
          <c:cat>
            <c:numRef>
              <c:f>'titration of diprotic acid A (1'!$A$2:$A$93</c:f>
              <c:numCache>
                <c:formatCode>General</c:formatCode>
                <c:ptCount val="92"/>
                <c:pt idx="0">
                  <c:v>2.0</c:v>
                </c:pt>
                <c:pt idx="1">
                  <c:v>2.5</c:v>
                </c:pt>
                <c:pt idx="2">
                  <c:v>3.0</c:v>
                </c:pt>
                <c:pt idx="3">
                  <c:v>3.55</c:v>
                </c:pt>
                <c:pt idx="4">
                  <c:v>4.0</c:v>
                </c:pt>
                <c:pt idx="5">
                  <c:v>4.5</c:v>
                </c:pt>
                <c:pt idx="6">
                  <c:v>5.0</c:v>
                </c:pt>
                <c:pt idx="7">
                  <c:v>5.5</c:v>
                </c:pt>
                <c:pt idx="8">
                  <c:v>6.0</c:v>
                </c:pt>
                <c:pt idx="9">
                  <c:v>6.5</c:v>
                </c:pt>
                <c:pt idx="10">
                  <c:v>7.0</c:v>
                </c:pt>
                <c:pt idx="11">
                  <c:v>7.5</c:v>
                </c:pt>
                <c:pt idx="12">
                  <c:v>8.0</c:v>
                </c:pt>
                <c:pt idx="13">
                  <c:v>8.5</c:v>
                </c:pt>
                <c:pt idx="14">
                  <c:v>9.0</c:v>
                </c:pt>
                <c:pt idx="15">
                  <c:v>9.5</c:v>
                </c:pt>
                <c:pt idx="16">
                  <c:v>10.0</c:v>
                </c:pt>
                <c:pt idx="17">
                  <c:v>10.5</c:v>
                </c:pt>
                <c:pt idx="18">
                  <c:v>11.5</c:v>
                </c:pt>
                <c:pt idx="19">
                  <c:v>12.0</c:v>
                </c:pt>
                <c:pt idx="20">
                  <c:v>12.5</c:v>
                </c:pt>
                <c:pt idx="21">
                  <c:v>13.0</c:v>
                </c:pt>
                <c:pt idx="22">
                  <c:v>13.5</c:v>
                </c:pt>
                <c:pt idx="23">
                  <c:v>14.0</c:v>
                </c:pt>
                <c:pt idx="24">
                  <c:v>145.0</c:v>
                </c:pt>
                <c:pt idx="25">
                  <c:v>15.0</c:v>
                </c:pt>
                <c:pt idx="26">
                  <c:v>15.3</c:v>
                </c:pt>
                <c:pt idx="27">
                  <c:v>15.6</c:v>
                </c:pt>
                <c:pt idx="28">
                  <c:v>15.9</c:v>
                </c:pt>
                <c:pt idx="29">
                  <c:v>16.2</c:v>
                </c:pt>
                <c:pt idx="30">
                  <c:v>16.5</c:v>
                </c:pt>
                <c:pt idx="31">
                  <c:v>16.8</c:v>
                </c:pt>
                <c:pt idx="32">
                  <c:v>17.1</c:v>
                </c:pt>
                <c:pt idx="33">
                  <c:v>17.4</c:v>
                </c:pt>
                <c:pt idx="34">
                  <c:v>17.8</c:v>
                </c:pt>
                <c:pt idx="35">
                  <c:v>18.1</c:v>
                </c:pt>
                <c:pt idx="36">
                  <c:v>18.5</c:v>
                </c:pt>
                <c:pt idx="37">
                  <c:v>18.8</c:v>
                </c:pt>
                <c:pt idx="38">
                  <c:v>19.1</c:v>
                </c:pt>
                <c:pt idx="39">
                  <c:v>19.5</c:v>
                </c:pt>
                <c:pt idx="40">
                  <c:v>19.8</c:v>
                </c:pt>
                <c:pt idx="41">
                  <c:v>20.1</c:v>
                </c:pt>
                <c:pt idx="42">
                  <c:v>20.5</c:v>
                </c:pt>
                <c:pt idx="43">
                  <c:v>21.0</c:v>
                </c:pt>
                <c:pt idx="44">
                  <c:v>21.5</c:v>
                </c:pt>
                <c:pt idx="45">
                  <c:v>22.0</c:v>
                </c:pt>
                <c:pt idx="46">
                  <c:v>22.5</c:v>
                </c:pt>
                <c:pt idx="47">
                  <c:v>23.0</c:v>
                </c:pt>
                <c:pt idx="48">
                  <c:v>23.5</c:v>
                </c:pt>
                <c:pt idx="49">
                  <c:v>24.0</c:v>
                </c:pt>
                <c:pt idx="50">
                  <c:v>24.5</c:v>
                </c:pt>
                <c:pt idx="51">
                  <c:v>25.0</c:v>
                </c:pt>
                <c:pt idx="52">
                  <c:v>25.5</c:v>
                </c:pt>
                <c:pt idx="53">
                  <c:v>26.0</c:v>
                </c:pt>
                <c:pt idx="54">
                  <c:v>26.5</c:v>
                </c:pt>
                <c:pt idx="55">
                  <c:v>27.0</c:v>
                </c:pt>
                <c:pt idx="56">
                  <c:v>27.5</c:v>
                </c:pt>
                <c:pt idx="57">
                  <c:v>28.0</c:v>
                </c:pt>
                <c:pt idx="58">
                  <c:v>28.5</c:v>
                </c:pt>
                <c:pt idx="59">
                  <c:v>29.0</c:v>
                </c:pt>
                <c:pt idx="60">
                  <c:v>29.5</c:v>
                </c:pt>
                <c:pt idx="61">
                  <c:v>30.0</c:v>
                </c:pt>
                <c:pt idx="62">
                  <c:v>30.5</c:v>
                </c:pt>
                <c:pt idx="63">
                  <c:v>31.0</c:v>
                </c:pt>
                <c:pt idx="64">
                  <c:v>31.5</c:v>
                </c:pt>
                <c:pt idx="65">
                  <c:v>32.0</c:v>
                </c:pt>
                <c:pt idx="66">
                  <c:v>32.2</c:v>
                </c:pt>
                <c:pt idx="67">
                  <c:v>32.4</c:v>
                </c:pt>
                <c:pt idx="68">
                  <c:v>32.6</c:v>
                </c:pt>
                <c:pt idx="69">
                  <c:v>32.85</c:v>
                </c:pt>
                <c:pt idx="70">
                  <c:v>33.0</c:v>
                </c:pt>
                <c:pt idx="71">
                  <c:v>33.2</c:v>
                </c:pt>
                <c:pt idx="72">
                  <c:v>33.4</c:v>
                </c:pt>
                <c:pt idx="73">
                  <c:v>33.6</c:v>
                </c:pt>
                <c:pt idx="74">
                  <c:v>33.8</c:v>
                </c:pt>
                <c:pt idx="75">
                  <c:v>34.0</c:v>
                </c:pt>
                <c:pt idx="76">
                  <c:v>34.2</c:v>
                </c:pt>
                <c:pt idx="77">
                  <c:v>34.4</c:v>
                </c:pt>
                <c:pt idx="78">
                  <c:v>34.7</c:v>
                </c:pt>
                <c:pt idx="79">
                  <c:v>35.0</c:v>
                </c:pt>
                <c:pt idx="80">
                  <c:v>35.3</c:v>
                </c:pt>
                <c:pt idx="81">
                  <c:v>35.7</c:v>
                </c:pt>
                <c:pt idx="82">
                  <c:v>36.1</c:v>
                </c:pt>
                <c:pt idx="83">
                  <c:v>36.5</c:v>
                </c:pt>
                <c:pt idx="84">
                  <c:v>37.0</c:v>
                </c:pt>
                <c:pt idx="85">
                  <c:v>37.5</c:v>
                </c:pt>
                <c:pt idx="86">
                  <c:v>38.5</c:v>
                </c:pt>
                <c:pt idx="87">
                  <c:v>40.0</c:v>
                </c:pt>
                <c:pt idx="88">
                  <c:v>42.0</c:v>
                </c:pt>
                <c:pt idx="89">
                  <c:v>44.0</c:v>
                </c:pt>
                <c:pt idx="90">
                  <c:v>46.0</c:v>
                </c:pt>
                <c:pt idx="91">
                  <c:v>48.0</c:v>
                </c:pt>
              </c:numCache>
            </c:numRef>
          </c:cat>
          <c:val>
            <c:numRef>
              <c:f>'titration of diprotic acid A (1'!$B$2:$B$93</c:f>
              <c:numCache>
                <c:formatCode>General</c:formatCode>
                <c:ptCount val="92"/>
                <c:pt idx="0">
                  <c:v>2.69576685204</c:v>
                </c:pt>
                <c:pt idx="1">
                  <c:v>2.69769852538</c:v>
                </c:pt>
                <c:pt idx="2">
                  <c:v>2.72750148551</c:v>
                </c:pt>
                <c:pt idx="3">
                  <c:v>2.73053697219</c:v>
                </c:pt>
                <c:pt idx="4">
                  <c:v>2.73274459886</c:v>
                </c:pt>
                <c:pt idx="5">
                  <c:v>2.73743580555</c:v>
                </c:pt>
                <c:pt idx="6">
                  <c:v>2.74074724556</c:v>
                </c:pt>
                <c:pt idx="7">
                  <c:v>2.74626631225</c:v>
                </c:pt>
                <c:pt idx="8">
                  <c:v>2.75509681896</c:v>
                </c:pt>
                <c:pt idx="9">
                  <c:v>2.76171969898</c:v>
                </c:pt>
                <c:pt idx="10">
                  <c:v>2.7722059257</c:v>
                </c:pt>
                <c:pt idx="11">
                  <c:v>2.77965666573</c:v>
                </c:pt>
                <c:pt idx="12">
                  <c:v>2.78876312577</c:v>
                </c:pt>
                <c:pt idx="13">
                  <c:v>2.80449246583</c:v>
                </c:pt>
                <c:pt idx="14">
                  <c:v>2.81470273921</c:v>
                </c:pt>
                <c:pt idx="15">
                  <c:v>2.8370549593</c:v>
                </c:pt>
                <c:pt idx="16">
                  <c:v>2.85278429937</c:v>
                </c:pt>
                <c:pt idx="17">
                  <c:v>2.87375675279</c:v>
                </c:pt>
                <c:pt idx="18">
                  <c:v>2.92563597967</c:v>
                </c:pt>
                <c:pt idx="19">
                  <c:v>2.95405917313</c:v>
                </c:pt>
                <c:pt idx="20">
                  <c:v>2.99959147332</c:v>
                </c:pt>
                <c:pt idx="21">
                  <c:v>3.0346375468</c:v>
                </c:pt>
                <c:pt idx="22">
                  <c:v>3.08403319367</c:v>
                </c:pt>
                <c:pt idx="23">
                  <c:v>3.12294261384</c:v>
                </c:pt>
                <c:pt idx="24">
                  <c:v>3.16764705403</c:v>
                </c:pt>
                <c:pt idx="25">
                  <c:v>3.22863274095</c:v>
                </c:pt>
                <c:pt idx="26">
                  <c:v>3.28133982784</c:v>
                </c:pt>
                <c:pt idx="27">
                  <c:v>3.33073547471</c:v>
                </c:pt>
                <c:pt idx="28">
                  <c:v>3.37019680154</c:v>
                </c:pt>
                <c:pt idx="29">
                  <c:v>3.42235198176</c:v>
                </c:pt>
                <c:pt idx="30">
                  <c:v>3.47892241534</c:v>
                </c:pt>
                <c:pt idx="31">
                  <c:v>3.51534825549</c:v>
                </c:pt>
                <c:pt idx="32">
                  <c:v>3.57412631574</c:v>
                </c:pt>
                <c:pt idx="33">
                  <c:v>3.6450463227</c:v>
                </c:pt>
                <c:pt idx="34">
                  <c:v>3.70879154297</c:v>
                </c:pt>
                <c:pt idx="35">
                  <c:v>3.7545997965</c:v>
                </c:pt>
                <c:pt idx="36">
                  <c:v>3.82524385013</c:v>
                </c:pt>
                <c:pt idx="37">
                  <c:v>3.86636089697</c:v>
                </c:pt>
                <c:pt idx="38">
                  <c:v>3.92237942387</c:v>
                </c:pt>
                <c:pt idx="39">
                  <c:v>3.97674223076</c:v>
                </c:pt>
                <c:pt idx="40">
                  <c:v>4.02089476428</c:v>
                </c:pt>
                <c:pt idx="41">
                  <c:v>4.05538893109</c:v>
                </c:pt>
                <c:pt idx="42">
                  <c:v>4.10782006465</c:v>
                </c:pt>
                <c:pt idx="43">
                  <c:v>4.16135501154</c:v>
                </c:pt>
                <c:pt idx="44">
                  <c:v>4.22013307179</c:v>
                </c:pt>
                <c:pt idx="45">
                  <c:v>4.27228825201</c:v>
                </c:pt>
                <c:pt idx="46">
                  <c:v>4.32058008554</c:v>
                </c:pt>
                <c:pt idx="47">
                  <c:v>4.37963409912</c:v>
                </c:pt>
                <c:pt idx="48">
                  <c:v>4.42268281931</c:v>
                </c:pt>
                <c:pt idx="49">
                  <c:v>4.46766321283</c:v>
                </c:pt>
                <c:pt idx="50">
                  <c:v>4.51512718636</c:v>
                </c:pt>
                <c:pt idx="51">
                  <c:v>4.56645450658</c:v>
                </c:pt>
                <c:pt idx="52">
                  <c:v>4.6106070401</c:v>
                </c:pt>
                <c:pt idx="53">
                  <c:v>4.65972673364</c:v>
                </c:pt>
                <c:pt idx="54">
                  <c:v>4.70525903383</c:v>
                </c:pt>
                <c:pt idx="55">
                  <c:v>4.76541686075</c:v>
                </c:pt>
                <c:pt idx="56">
                  <c:v>4.81812394764</c:v>
                </c:pt>
                <c:pt idx="57">
                  <c:v>4.87579819455</c:v>
                </c:pt>
                <c:pt idx="58">
                  <c:v>4.93154076811</c:v>
                </c:pt>
                <c:pt idx="59">
                  <c:v>4.98811120168</c:v>
                </c:pt>
                <c:pt idx="60">
                  <c:v>5.05296023529</c:v>
                </c:pt>
                <c:pt idx="61">
                  <c:v>5.12056880224</c:v>
                </c:pt>
                <c:pt idx="62">
                  <c:v>5.20777005594</c:v>
                </c:pt>
                <c:pt idx="63">
                  <c:v>5.2938674963</c:v>
                </c:pt>
                <c:pt idx="64">
                  <c:v>5.40811217678</c:v>
                </c:pt>
                <c:pt idx="65">
                  <c:v>5.53560261732</c:v>
                </c:pt>
                <c:pt idx="66">
                  <c:v>5.60652262429</c:v>
                </c:pt>
                <c:pt idx="67">
                  <c:v>5.70338224469</c:v>
                </c:pt>
                <c:pt idx="68">
                  <c:v>5.77678583167</c:v>
                </c:pt>
                <c:pt idx="69">
                  <c:v>5.94125401903</c:v>
                </c:pt>
                <c:pt idx="70">
                  <c:v>6.04694414614</c:v>
                </c:pt>
                <c:pt idx="71">
                  <c:v>6.22245046688</c:v>
                </c:pt>
                <c:pt idx="72">
                  <c:v>6.39133390759</c:v>
                </c:pt>
                <c:pt idx="73">
                  <c:v>6.89467278971</c:v>
                </c:pt>
                <c:pt idx="74">
                  <c:v>7.47886599883</c:v>
                </c:pt>
                <c:pt idx="75">
                  <c:v>8.85394146461</c:v>
                </c:pt>
                <c:pt idx="76">
                  <c:v>9.95582312925</c:v>
                </c:pt>
                <c:pt idx="77">
                  <c:v>10.8902011198</c:v>
                </c:pt>
                <c:pt idx="78">
                  <c:v>11.1595315743</c:v>
                </c:pt>
                <c:pt idx="79">
                  <c:v>11.317652835</c:v>
                </c:pt>
                <c:pt idx="80">
                  <c:v>11.4020945553</c:v>
                </c:pt>
                <c:pt idx="81">
                  <c:v>11.4812931623</c:v>
                </c:pt>
                <c:pt idx="82">
                  <c:v>11.5778768294</c:v>
                </c:pt>
                <c:pt idx="83">
                  <c:v>11.6082316962</c:v>
                </c:pt>
                <c:pt idx="84">
                  <c:v>11.6990203433</c:v>
                </c:pt>
                <c:pt idx="85">
                  <c:v>11.7475881301</c:v>
                </c:pt>
                <c:pt idx="86">
                  <c:v>11.8270626905</c:v>
                </c:pt>
                <c:pt idx="87">
                  <c:v>11.9128841775</c:v>
                </c:pt>
                <c:pt idx="88">
                  <c:v>12.0025690112</c:v>
                </c:pt>
                <c:pt idx="89">
                  <c:v>12.0668661381</c:v>
                </c:pt>
                <c:pt idx="90">
                  <c:v>12.1284037317</c:v>
                </c:pt>
                <c:pt idx="91">
                  <c:v>12.1634498052</c:v>
                </c:pt>
              </c:numCache>
            </c:numRef>
          </c:val>
          <c:smooth val="0"/>
        </c:ser>
        <c:dLbls>
          <c:showLegendKey val="0"/>
          <c:showVal val="0"/>
          <c:showCatName val="0"/>
          <c:showSerName val="0"/>
          <c:showPercent val="0"/>
          <c:showBubbleSize val="0"/>
        </c:dLbls>
        <c:smooth val="0"/>
        <c:axId val="1270310928"/>
        <c:axId val="1270314736"/>
      </c:lineChart>
      <c:catAx>
        <c:axId val="1270310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r>
                  <a:rPr lang="en-US" baseline="0"/>
                  <a:t> used in mL</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314736"/>
        <c:crosses val="autoZero"/>
        <c:auto val="1"/>
        <c:lblAlgn val="ctr"/>
        <c:lblOffset val="100"/>
        <c:noMultiLvlLbl val="0"/>
      </c:catAx>
      <c:valAx>
        <c:axId val="1270314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310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Words>2194</Words>
  <Pages>16</Pages>
  <Characters>11210</Characters>
  <Application>WPS Office</Application>
  <DocSecurity>0</DocSecurity>
  <Paragraphs>699</Paragraphs>
  <ScaleCrop>false</ScaleCrop>
  <LinksUpToDate>false</LinksUpToDate>
  <CharactersWithSpaces>13183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2020-10-18T18:58:26Z</dcterms:created>
  <dc:creator>GK. MWANIAH</dc:creator>
  <lastModifiedBy>Infinix X650D</lastModifiedBy>
  <dcterms:modified xsi:type="dcterms:W3CDTF">2020-10-18T18:58:26Z</dcterms:modified>
  <revision>4</revision>
</coreProperties>
</file>

<file path=docProps/custom.xml><?xml version="1.0" encoding="utf-8"?>
<Properties xmlns="http://schemas.openxmlformats.org/officeDocument/2006/custom-properties" xmlns:vt="http://schemas.openxmlformats.org/officeDocument/2006/docPropsVTypes"/>
</file>